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C40D0" w14:textId="292CA654" w:rsidR="008D58CA" w:rsidRPr="008D58CA" w:rsidRDefault="008D58CA" w:rsidP="008D58CA">
      <w:pPr>
        <w:pStyle w:val="Normlnweb"/>
        <w:rPr>
          <w:rFonts w:ascii="Calibri" w:eastAsiaTheme="minorHAnsi" w:hAnsi="Calibri" w:cs="Calibri"/>
          <w:b/>
          <w:bCs/>
          <w:color w:val="FFFFFF" w:themeColor="background1"/>
          <w:kern w:val="2"/>
          <w:sz w:val="52"/>
          <w:szCs w:val="52"/>
          <w:lang w:val="fr-FR" w:eastAsia="en-US"/>
        </w:rPr>
      </w:pPr>
      <w:r w:rsidRPr="008D58CA">
        <w:rPr>
          <w:rFonts w:ascii="Calibri" w:eastAsiaTheme="minorHAnsi" w:hAnsi="Calibri" w:cs="Calibri"/>
          <w:b/>
          <w:bCs/>
          <w:noProof/>
          <w:color w:val="FFFFFF" w:themeColor="background1"/>
          <w:kern w:val="2"/>
          <w:sz w:val="52"/>
          <w:szCs w:val="52"/>
          <w:lang w:val="fr-FR" w:eastAsia="en-US"/>
        </w:rPr>
        <w:drawing>
          <wp:anchor distT="0" distB="0" distL="114300" distR="114300" simplePos="0" relativeHeight="251659264" behindDoc="1" locked="0" layoutInCell="1" allowOverlap="1" wp14:anchorId="787B4ABB" wp14:editId="617F42E4">
            <wp:simplePos x="0" y="0"/>
            <wp:positionH relativeFrom="page">
              <wp:posOffset>33423</wp:posOffset>
            </wp:positionH>
            <wp:positionV relativeFrom="paragraph">
              <wp:posOffset>-898525</wp:posOffset>
            </wp:positionV>
            <wp:extent cx="7558500" cy="1797269"/>
            <wp:effectExtent l="0" t="0" r="4445" b="0"/>
            <wp:wrapNone/>
            <wp:docPr id="513275574" name="Image 7" descr="Une image contenant Bleu électrique, Bleu Majorelle, Bleu cobalt, drapeau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275574" name="Image 7" descr="Une image contenant Bleu électrique, Bleu Majorelle, Bleu cobalt, drapeau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8500" cy="1797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58CA">
        <w:rPr>
          <w:rFonts w:ascii="Calibri" w:eastAsiaTheme="minorHAnsi" w:hAnsi="Calibri" w:cs="Calibri"/>
          <w:b/>
          <w:bCs/>
          <w:color w:val="FFFFFF" w:themeColor="background1"/>
          <w:kern w:val="2"/>
          <w:sz w:val="52"/>
          <w:szCs w:val="52"/>
          <w:lang w:val="fr-FR" w:eastAsia="en-US"/>
        </w:rPr>
        <w:t>S</w:t>
      </w:r>
      <w:r w:rsidR="00811E07">
        <w:rPr>
          <w:rFonts w:ascii="Calibri" w:eastAsiaTheme="minorHAnsi" w:hAnsi="Calibri" w:cs="Calibri"/>
          <w:b/>
          <w:bCs/>
          <w:color w:val="FFFFFF" w:themeColor="background1"/>
          <w:kern w:val="2"/>
          <w:sz w:val="52"/>
          <w:szCs w:val="52"/>
          <w:lang w:val="fr-FR" w:eastAsia="en-US"/>
        </w:rPr>
        <w:t>HRNUTÍ ČLÁNKŮ</w:t>
      </w:r>
      <w:r w:rsidRPr="008D58CA">
        <w:rPr>
          <w:rFonts w:ascii="Calibri" w:eastAsiaTheme="minorHAnsi" w:hAnsi="Calibri" w:cs="Calibri"/>
          <w:b/>
          <w:bCs/>
          <w:color w:val="FFFFFF" w:themeColor="background1"/>
          <w:kern w:val="2"/>
          <w:sz w:val="52"/>
          <w:szCs w:val="52"/>
          <w:lang w:val="fr-FR" w:eastAsia="en-US"/>
        </w:rPr>
        <w:t xml:space="preserve"> : </w:t>
      </w:r>
      <w:r w:rsidR="00811E07">
        <w:rPr>
          <w:rFonts w:ascii="Calibri" w:eastAsiaTheme="minorHAnsi" w:hAnsi="Calibri" w:cs="Calibri"/>
          <w:b/>
          <w:bCs/>
          <w:color w:val="FFFFFF" w:themeColor="background1"/>
          <w:kern w:val="2"/>
          <w:sz w:val="52"/>
          <w:szCs w:val="52"/>
          <w:lang w:val="fr-FR" w:eastAsia="en-US"/>
        </w:rPr>
        <w:t>ČLÁNEK</w:t>
      </w:r>
      <w:r w:rsidRPr="008D58CA">
        <w:rPr>
          <w:rFonts w:ascii="Calibri" w:eastAsiaTheme="minorHAnsi" w:hAnsi="Calibri" w:cs="Calibri"/>
          <w:b/>
          <w:bCs/>
          <w:color w:val="FFFFFF" w:themeColor="background1"/>
          <w:kern w:val="2"/>
          <w:sz w:val="52"/>
          <w:szCs w:val="52"/>
          <w:lang w:val="fr-FR" w:eastAsia="en-US"/>
        </w:rPr>
        <w:t xml:space="preserve"> 14 </w:t>
      </w:r>
      <w:r w:rsidR="00811E07">
        <w:rPr>
          <w:rFonts w:ascii="Calibri" w:eastAsiaTheme="minorHAnsi" w:hAnsi="Calibri" w:cs="Calibri"/>
          <w:b/>
          <w:bCs/>
          <w:color w:val="FFFFFF" w:themeColor="background1"/>
          <w:kern w:val="2"/>
          <w:sz w:val="52"/>
          <w:szCs w:val="52"/>
          <w:lang w:val="fr-FR" w:eastAsia="en-US"/>
        </w:rPr>
        <w:t>LZPEU</w:t>
      </w:r>
    </w:p>
    <w:p w14:paraId="3117D621" w14:textId="1055622D" w:rsidR="00664DF4" w:rsidRDefault="00D55D0F" w:rsidP="008D58CA">
      <w:pPr>
        <w:pStyle w:val="Normlnweb"/>
        <w:tabs>
          <w:tab w:val="left" w:pos="295"/>
        </w:tabs>
        <w:rPr>
          <w:rFonts w:ascii="Calibri" w:hAnsi="Calibri"/>
          <w:b/>
        </w:rPr>
      </w:pPr>
      <w:r>
        <w:rPr>
          <w:noProof/>
        </w:rPr>
        <w:pict w14:anchorId="5EF874EE">
          <v:roundrect id="Zone de texte 2" o:spid="_x0000_s1026" style="position:absolute;margin-left:0;margin-top:57.8pt;width:423.75pt;height:185.8pt;z-index:251661312;visibility:visible;mso-wrap-style:square;mso-width-percent:0;mso-height-percent:200;mso-wrap-distance-left:9pt;mso-wrap-distance-top:3.6pt;mso-wrap-distance-right:9pt;mso-wrap-distance-bottom:3.6pt;mso-position-horizontal-relative:margin;mso-position-vertical-relative:text;mso-width-percent:0;mso-height-percent:20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" fillcolor="#deeaf6 [660]" strokecolor="#deeaf6 [660]">
            <v:stroke joinstyle="miter"/>
            <v:textbox style="mso-fit-shape-to-text:t">
              <w:txbxContent>
                <w:p w14:paraId="4008CA15" w14:textId="31BC5506" w:rsidR="00D55D0F" w:rsidRDefault="00491B1A" w:rsidP="00D55D0F">
                  <w:pPr>
                    <w:jc w:val="both"/>
                    <w:rPr>
                      <w:rFonts w:asciiTheme="majorHAnsi" w:hAnsiTheme="majorHAnsi" w:cstheme="majorHAnsi"/>
                      <w:b/>
                      <w:i/>
                    </w:rPr>
                  </w:pPr>
                  <w:r>
                    <w:rPr>
                      <w:rFonts w:asciiTheme="majorHAnsi" w:hAnsiTheme="majorHAnsi" w:cstheme="majorHAnsi"/>
                      <w:b/>
                      <w:i/>
                    </w:rPr>
                    <w:t>„Právo na vzdělání</w:t>
                  </w:r>
                  <w:r w:rsidR="00D55D0F">
                    <w:rPr>
                      <w:rFonts w:asciiTheme="majorHAnsi" w:hAnsiTheme="majorHAnsi" w:cstheme="majorHAnsi"/>
                      <w:b/>
                      <w:i/>
                    </w:rPr>
                    <w:t xml:space="preserve"> </w:t>
                  </w:r>
                </w:p>
                <w:p w14:paraId="2C3D4BF7" w14:textId="77777777" w:rsidR="00D55D0F" w:rsidRPr="00F007D2" w:rsidRDefault="00D55D0F" w:rsidP="00D55D0F">
                  <w:pPr>
                    <w:jc w:val="both"/>
                    <w:rPr>
                      <w:rFonts w:asciiTheme="majorHAnsi" w:hAnsiTheme="majorHAnsi" w:cstheme="majorHAnsi"/>
                      <w:b/>
                      <w:i/>
                    </w:rPr>
                  </w:pPr>
                </w:p>
                <w:p w14:paraId="4A75ABF8" w14:textId="77777777" w:rsidR="00491B1A" w:rsidRPr="00491B1A" w:rsidRDefault="00491B1A" w:rsidP="00491B1A">
                  <w:pPr>
                    <w:rPr>
                      <w:rFonts w:asciiTheme="majorHAnsi" w:hAnsiTheme="majorHAnsi" w:cstheme="majorHAnsi"/>
                      <w:i/>
                    </w:rPr>
                  </w:pPr>
                  <w:r w:rsidRPr="00491B1A">
                    <w:rPr>
                      <w:rFonts w:asciiTheme="majorHAnsi" w:hAnsiTheme="majorHAnsi" w:cstheme="majorHAnsi"/>
                      <w:i/>
                    </w:rPr>
                    <w:t>1.   Každý má právo na vzdělání a přístup k odbornému a dalšímu vzdělávání.</w:t>
                  </w:r>
                </w:p>
                <w:p w14:paraId="1F532C60" w14:textId="77777777" w:rsidR="00491B1A" w:rsidRPr="00491B1A" w:rsidRDefault="00491B1A" w:rsidP="00491B1A">
                  <w:pPr>
                    <w:rPr>
                      <w:rFonts w:asciiTheme="majorHAnsi" w:hAnsiTheme="majorHAnsi" w:cstheme="majorHAnsi"/>
                      <w:i/>
                    </w:rPr>
                  </w:pPr>
                  <w:r w:rsidRPr="00491B1A">
                    <w:rPr>
                      <w:rFonts w:asciiTheme="majorHAnsi" w:hAnsiTheme="majorHAnsi" w:cstheme="majorHAnsi"/>
                      <w:i/>
                    </w:rPr>
                    <w:t>2.   Toto právo zahrnuje možnost bezplatné povinné školní docházky.</w:t>
                  </w:r>
                </w:p>
                <w:p w14:paraId="54DA2C33" w14:textId="76612ED1" w:rsidR="00491B1A" w:rsidRPr="00491B1A" w:rsidRDefault="00491B1A" w:rsidP="00491B1A">
                  <w:pPr>
                    <w:rPr>
                      <w:rFonts w:asciiTheme="majorHAnsi" w:hAnsiTheme="majorHAnsi" w:cstheme="majorHAnsi"/>
                      <w:i/>
                    </w:rPr>
                  </w:pPr>
                  <w:r w:rsidRPr="00491B1A">
                    <w:rPr>
                      <w:rFonts w:asciiTheme="majorHAnsi" w:hAnsiTheme="majorHAnsi" w:cstheme="majorHAnsi"/>
                      <w:i/>
                    </w:rPr>
                    <w:t>3.   Svoboda zakládat vzdělávací zařízení při náležitém respektování demokratických zásad a právo rodičů zajišťovat vzdělání a výchovu svých dětí ve shodě s jejich náboženským, filozofickým a pedagogickým přesvědčením musí být respektovány v souladu s vnitrostátními zákony, které upravují jejich výkon.</w:t>
                  </w:r>
                  <w:r>
                    <w:rPr>
                      <w:rFonts w:asciiTheme="majorHAnsi" w:hAnsiTheme="majorHAnsi" w:cstheme="majorHAnsi"/>
                      <w:i/>
                    </w:rPr>
                    <w:t>“</w:t>
                  </w:r>
                </w:p>
                <w:p w14:paraId="2D56B6C4" w14:textId="77777777" w:rsidR="00D55D0F" w:rsidRPr="00BA7FF3" w:rsidRDefault="00D55D0F" w:rsidP="00D55D0F"/>
              </w:txbxContent>
            </v:textbox>
            <w10:wrap type="square" anchorx="margin"/>
          </v:roundrect>
        </w:pict>
      </w:r>
    </w:p>
    <w:p w14:paraId="658CB16B" w14:textId="52F807F0" w:rsidR="008D58CA" w:rsidRDefault="008D58CA" w:rsidP="00D55D0F">
      <w:pPr>
        <w:pStyle w:val="Normlnweb"/>
        <w:jc w:val="right"/>
        <w:rPr>
          <w:rFonts w:ascii="Calibri" w:hAnsi="Calibri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64DF4" w:rsidRPr="00470C01" w14:paraId="20EDCE7C" w14:textId="77777777" w:rsidTr="00CD2B58">
        <w:tc>
          <w:tcPr>
            <w:tcW w:w="8494" w:type="dxa"/>
          </w:tcPr>
          <w:p w14:paraId="76C93B1D" w14:textId="77777777" w:rsidR="00664DF4" w:rsidRPr="00470C01" w:rsidRDefault="003D0AD2" w:rsidP="00BC6DA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b/>
              </w:rPr>
              <w:t>Obsah</w:t>
            </w:r>
            <w:r w:rsidR="00BC6DAD">
              <w:rPr>
                <w:b/>
              </w:rPr>
              <w:t xml:space="preserve"> a </w:t>
            </w:r>
            <w:r>
              <w:rPr>
                <w:b/>
              </w:rPr>
              <w:t xml:space="preserve">působnost článku </w:t>
            </w:r>
          </w:p>
        </w:tc>
      </w:tr>
      <w:tr w:rsidR="00664DF4" w:rsidRPr="00470C01" w14:paraId="37F60999" w14:textId="77777777" w:rsidTr="00CD2B58">
        <w:tc>
          <w:tcPr>
            <w:tcW w:w="8494" w:type="dxa"/>
          </w:tcPr>
          <w:p w14:paraId="5E1723C4" w14:textId="77777777" w:rsidR="005A735D" w:rsidRDefault="005A735D" w:rsidP="00BC6DAD">
            <w:pPr>
              <w:jc w:val="both"/>
              <w:rPr>
                <w:iCs/>
              </w:rPr>
            </w:pPr>
            <w:r>
              <w:t>Vzdělání jako lidské právo je zaručena</w:t>
            </w:r>
            <w:r w:rsidR="00BC6DAD">
              <w:t xml:space="preserve"> v </w:t>
            </w:r>
            <w:r>
              <w:t>mnoha lidskoprávních úmluvách, především pak</w:t>
            </w:r>
            <w:r w:rsidR="00BC6DAD">
              <w:t xml:space="preserve"> v </w:t>
            </w:r>
            <w:r>
              <w:t>Úmluvě</w:t>
            </w:r>
            <w:r w:rsidR="00BC6DAD">
              <w:t xml:space="preserve"> o </w:t>
            </w:r>
            <w:r>
              <w:t>boji proti diskriminaci</w:t>
            </w:r>
            <w:r w:rsidR="00BC6DAD">
              <w:t xml:space="preserve"> v </w:t>
            </w:r>
            <w:r>
              <w:t>oblasti vzdělání (1960, CADE). Dále jsou to Úmluva</w:t>
            </w:r>
            <w:r w:rsidR="00BC6DAD">
              <w:t xml:space="preserve"> o </w:t>
            </w:r>
            <w:r>
              <w:t>odstranění všech forem diskriminace žen (1979, CEDAW), Mezinárodní pakt</w:t>
            </w:r>
            <w:r w:rsidR="00BC6DAD">
              <w:t xml:space="preserve"> o </w:t>
            </w:r>
            <w:r>
              <w:t>hospodářských, sociálních</w:t>
            </w:r>
            <w:r w:rsidR="00BC6DAD">
              <w:t xml:space="preserve"> a </w:t>
            </w:r>
            <w:r>
              <w:t>kulturních právech (1966, ICESCR)</w:t>
            </w:r>
            <w:r w:rsidR="00BC6DAD">
              <w:t xml:space="preserve"> a </w:t>
            </w:r>
            <w:r>
              <w:t>Úmluva</w:t>
            </w:r>
            <w:r w:rsidR="00BC6DAD">
              <w:t xml:space="preserve"> o </w:t>
            </w:r>
            <w:r>
              <w:t>právech dítěte (1989, CRC).</w:t>
            </w:r>
          </w:p>
          <w:p w14:paraId="38C4034D" w14:textId="77777777" w:rsidR="005A735D" w:rsidRPr="005A735D" w:rsidRDefault="005A735D" w:rsidP="00BC6DAD">
            <w:pPr>
              <w:jc w:val="both"/>
              <w:rPr>
                <w:iCs/>
                <w:lang w:val="en-US"/>
              </w:rPr>
            </w:pPr>
          </w:p>
          <w:p w14:paraId="52BF666E" w14:textId="77777777" w:rsidR="005A735D" w:rsidRPr="005A735D" w:rsidRDefault="005A735D" w:rsidP="00BC6DAD">
            <w:pPr>
              <w:jc w:val="both"/>
              <w:rPr>
                <w:iCs/>
              </w:rPr>
            </w:pPr>
            <w:r>
              <w:t>Lidská práva zakotvená</w:t>
            </w:r>
            <w:r w:rsidR="00BC6DAD">
              <w:t xml:space="preserve"> v </w:t>
            </w:r>
            <w:r>
              <w:t>ICESCR se dle jeho Preambule „odvozují od přirozené důstojnosti lidské bytosti“. Hlavním cílem vzdělání je podle Výboru pro práva dítěte, který za provádění Úmluvy zodpovídá, „prosazovat, podporovat</w:t>
            </w:r>
            <w:r w:rsidR="00BC6DAD">
              <w:t xml:space="preserve"> a </w:t>
            </w:r>
            <w:r>
              <w:t>chránit samotnou podstatu Úmluvy: lidskou důstojnost vlastní každému dítěti</w:t>
            </w:r>
            <w:r w:rsidR="00BC6DAD">
              <w:t xml:space="preserve"> a </w:t>
            </w:r>
            <w:r>
              <w:t>jeho rovná</w:t>
            </w:r>
            <w:r w:rsidR="00BC6DAD">
              <w:t xml:space="preserve"> a </w:t>
            </w:r>
            <w:r>
              <w:t xml:space="preserve">nezcizitelná práva“. Právo na vzdělání nevyhnutelně zdůrazňuje důležitost osoby, protože klade důraz na její důstojnost. </w:t>
            </w:r>
          </w:p>
          <w:p w14:paraId="13C9726A" w14:textId="77777777" w:rsidR="005A735D" w:rsidRPr="005A735D" w:rsidRDefault="005A735D" w:rsidP="00BC6DAD">
            <w:pPr>
              <w:jc w:val="both"/>
              <w:rPr>
                <w:iCs/>
                <w:lang w:val="en-US"/>
              </w:rPr>
            </w:pPr>
          </w:p>
          <w:p w14:paraId="323707ED" w14:textId="77777777" w:rsidR="005B771F" w:rsidRDefault="005A735D" w:rsidP="00BC6DAD">
            <w:pPr>
              <w:jc w:val="both"/>
              <w:rPr>
                <w:iCs/>
              </w:rPr>
            </w:pPr>
            <w:r>
              <w:t>Mezinárodní lidskoprávní normy stanoví, že hlavním beneficientem práva vzdělání je člověk,</w:t>
            </w:r>
            <w:r w:rsidR="00BC6DAD">
              <w:t xml:space="preserve"> i </w:t>
            </w:r>
            <w:r>
              <w:t>když zároveň uznává praktické</w:t>
            </w:r>
            <w:r w:rsidR="00BC6DAD">
              <w:t xml:space="preserve"> a </w:t>
            </w:r>
            <w:r>
              <w:t>společenské výhody vzdělání</w:t>
            </w:r>
            <w:r w:rsidR="00BC6DAD">
              <w:t xml:space="preserve"> a </w:t>
            </w:r>
            <w:r>
              <w:t>skutečnost, že mohou být zdrojem lidské důstojnosti. Svoboda vzdělání zaručuje, aby systémy vzdělávání do centra svého hlavního zájmu stavěly jednotlivce.</w:t>
            </w:r>
          </w:p>
          <w:p w14:paraId="0437EA84" w14:textId="77777777" w:rsidR="005A735D" w:rsidRPr="00AA733C" w:rsidRDefault="005A735D" w:rsidP="00BC6DAD">
            <w:pPr>
              <w:jc w:val="both"/>
              <w:rPr>
                <w:b/>
                <w:iCs/>
                <w:lang w:val="en-US"/>
              </w:rPr>
            </w:pPr>
          </w:p>
          <w:p w14:paraId="702C6E24" w14:textId="77777777" w:rsidR="00664DF4" w:rsidRDefault="003D0AD2" w:rsidP="00BC6DAD">
            <w:pPr>
              <w:jc w:val="both"/>
              <w:rPr>
                <w:b/>
              </w:rPr>
            </w:pPr>
            <w:r>
              <w:rPr>
                <w:b/>
              </w:rPr>
              <w:t xml:space="preserve">Co dalšího obsahuje? </w:t>
            </w:r>
          </w:p>
          <w:p w14:paraId="738A5103" w14:textId="77777777" w:rsidR="003D0AD2" w:rsidRDefault="003D0AD2" w:rsidP="00BC6DAD">
            <w:pPr>
              <w:jc w:val="both"/>
              <w:rPr>
                <w:b/>
                <w:lang w:val="en-US"/>
              </w:rPr>
            </w:pPr>
          </w:p>
          <w:p w14:paraId="1C52DCB3" w14:textId="77777777" w:rsidR="003D0AD2" w:rsidRPr="003D0AD2" w:rsidRDefault="003D0AD2" w:rsidP="00BC6DAD">
            <w:pPr>
              <w:jc w:val="both"/>
            </w:pPr>
            <w:r>
              <w:t>V právu na vzdělání jsou zahrnuty další svobody</w:t>
            </w:r>
            <w:r w:rsidR="00BC6DAD">
              <w:t xml:space="preserve"> a </w:t>
            </w:r>
            <w:r>
              <w:t>výsady:</w:t>
            </w:r>
          </w:p>
          <w:p w14:paraId="31E97534" w14:textId="77777777" w:rsidR="003D0AD2" w:rsidRPr="003D0AD2" w:rsidRDefault="003D0AD2" w:rsidP="00BC6DAD">
            <w:pPr>
              <w:jc w:val="both"/>
              <w:rPr>
                <w:lang w:val="en-US"/>
              </w:rPr>
            </w:pPr>
          </w:p>
          <w:p w14:paraId="64420BE1" w14:textId="77777777" w:rsidR="003D0AD2" w:rsidRPr="003D0AD2" w:rsidRDefault="003D0AD2" w:rsidP="00BC6DAD">
            <w:pPr>
              <w:pStyle w:val="Odstavecseseznamem"/>
              <w:numPr>
                <w:ilvl w:val="0"/>
                <w:numId w:val="4"/>
              </w:numPr>
              <w:jc w:val="both"/>
            </w:pPr>
            <w:r>
              <w:t>nárok na bezplatné</w:t>
            </w:r>
            <w:r w:rsidR="00BC6DAD">
              <w:t xml:space="preserve"> a </w:t>
            </w:r>
            <w:r>
              <w:t>povinné základní vzdělání</w:t>
            </w:r>
            <w:r w:rsidR="00A53648">
              <w:t>,</w:t>
            </w:r>
          </w:p>
          <w:p w14:paraId="54CE9539" w14:textId="77777777" w:rsidR="003D0AD2" w:rsidRPr="003D0AD2" w:rsidRDefault="003D0AD2" w:rsidP="00BC6DAD">
            <w:pPr>
              <w:jc w:val="both"/>
              <w:rPr>
                <w:lang w:val="en-US"/>
              </w:rPr>
            </w:pPr>
          </w:p>
          <w:p w14:paraId="143F876C" w14:textId="77777777" w:rsidR="003D0AD2" w:rsidRPr="003D0AD2" w:rsidRDefault="003D0AD2" w:rsidP="00BC6DAD">
            <w:pPr>
              <w:pStyle w:val="Odstavecseseznamem"/>
              <w:numPr>
                <w:ilvl w:val="0"/>
                <w:numId w:val="4"/>
              </w:numPr>
              <w:jc w:val="both"/>
            </w:pPr>
            <w:r>
              <w:t>nárok na střední vzdělání dostupné všem, jež se stane postupně bezplatným (včetně technického</w:t>
            </w:r>
            <w:r w:rsidR="00BC6DAD">
              <w:t xml:space="preserve"> a </w:t>
            </w:r>
            <w:r>
              <w:t>odborného vzdělávání</w:t>
            </w:r>
            <w:r w:rsidR="00BC6DAD">
              <w:t xml:space="preserve"> a </w:t>
            </w:r>
            <w:r>
              <w:t>výcviku)</w:t>
            </w:r>
            <w:r w:rsidR="00A53648">
              <w:t>,</w:t>
            </w:r>
          </w:p>
          <w:p w14:paraId="643AFA4C" w14:textId="77777777" w:rsidR="003D0AD2" w:rsidRPr="003D0AD2" w:rsidRDefault="003D0AD2" w:rsidP="00BC6DAD">
            <w:pPr>
              <w:jc w:val="both"/>
              <w:rPr>
                <w:lang w:val="en-US"/>
              </w:rPr>
            </w:pPr>
          </w:p>
          <w:p w14:paraId="45A11B10" w14:textId="77777777" w:rsidR="003D0AD2" w:rsidRPr="003D0AD2" w:rsidRDefault="003D0AD2" w:rsidP="00BC6DAD">
            <w:pPr>
              <w:pStyle w:val="Odstavecseseznamem"/>
              <w:numPr>
                <w:ilvl w:val="0"/>
                <w:numId w:val="4"/>
              </w:numPr>
              <w:jc w:val="both"/>
            </w:pPr>
            <w:r>
              <w:t>rovný přístup</w:t>
            </w:r>
            <w:r w:rsidR="00BC6DAD">
              <w:t xml:space="preserve"> k </w:t>
            </w:r>
            <w:r>
              <w:t>vysokoškolskému vzdělání založený na schopnostech, jež se bude stávat stále</w:t>
            </w:r>
            <w:r w:rsidR="00BC6DAD">
              <w:t xml:space="preserve"> v </w:t>
            </w:r>
            <w:r>
              <w:t>širším rozsahu bezplatné</w:t>
            </w:r>
            <w:r w:rsidR="00A53648">
              <w:t>,</w:t>
            </w:r>
          </w:p>
          <w:p w14:paraId="50980C67" w14:textId="77777777" w:rsidR="003D0AD2" w:rsidRPr="003D0AD2" w:rsidRDefault="003D0AD2" w:rsidP="00BC6DAD">
            <w:pPr>
              <w:jc w:val="both"/>
              <w:rPr>
                <w:lang w:val="en-US"/>
              </w:rPr>
            </w:pPr>
          </w:p>
          <w:p w14:paraId="7420B237" w14:textId="77777777" w:rsidR="003D0AD2" w:rsidRPr="003D0AD2" w:rsidRDefault="003D0AD2" w:rsidP="00BC6DAD">
            <w:pPr>
              <w:pStyle w:val="Odstavecseseznamem"/>
              <w:numPr>
                <w:ilvl w:val="0"/>
                <w:numId w:val="4"/>
              </w:numPr>
              <w:jc w:val="both"/>
            </w:pPr>
            <w:r>
              <w:t>nárok na získání základních znalostí pro osoby, které nedokončily ani nezískaly základní vzdělání</w:t>
            </w:r>
            <w:r w:rsidR="00A53648">
              <w:t>,</w:t>
            </w:r>
          </w:p>
          <w:p w14:paraId="2561F047" w14:textId="77777777" w:rsidR="003D0AD2" w:rsidRPr="003D0AD2" w:rsidRDefault="003D0AD2" w:rsidP="00BC6DAD">
            <w:pPr>
              <w:jc w:val="both"/>
              <w:rPr>
                <w:lang w:val="en-US"/>
              </w:rPr>
            </w:pPr>
          </w:p>
          <w:p w14:paraId="394B96DB" w14:textId="77777777" w:rsidR="003D0AD2" w:rsidRPr="003D0AD2" w:rsidRDefault="003D0AD2" w:rsidP="00BC6DAD">
            <w:pPr>
              <w:pStyle w:val="Odstavecseseznamem"/>
              <w:numPr>
                <w:ilvl w:val="0"/>
                <w:numId w:val="4"/>
              </w:numPr>
              <w:jc w:val="both"/>
            </w:pPr>
            <w:r>
              <w:t>nárok na špičkové vzdělání ve veřejných</w:t>
            </w:r>
            <w:r w:rsidR="00BC6DAD">
              <w:t xml:space="preserve"> i </w:t>
            </w:r>
            <w:r>
              <w:t>soukromých institucích</w:t>
            </w:r>
            <w:r w:rsidR="00A53648">
              <w:t>,</w:t>
            </w:r>
          </w:p>
          <w:p w14:paraId="23E718D7" w14:textId="77777777" w:rsidR="003D0AD2" w:rsidRPr="003D0AD2" w:rsidRDefault="003D0AD2" w:rsidP="00BC6DAD">
            <w:pPr>
              <w:jc w:val="both"/>
              <w:rPr>
                <w:lang w:val="en-US"/>
              </w:rPr>
            </w:pPr>
          </w:p>
          <w:p w14:paraId="73B0BC4E" w14:textId="77777777" w:rsidR="003D0AD2" w:rsidRPr="003D0AD2" w:rsidRDefault="003D0AD2" w:rsidP="00BC6DAD">
            <w:pPr>
              <w:pStyle w:val="Odstavecseseznamem"/>
              <w:numPr>
                <w:ilvl w:val="0"/>
                <w:numId w:val="4"/>
              </w:numPr>
              <w:jc w:val="both"/>
            </w:pPr>
            <w:r>
              <w:t>svoboda rodičů posílat své děti do škol, které souzní</w:t>
            </w:r>
            <w:r w:rsidR="00BC6DAD">
              <w:t xml:space="preserve"> s </w:t>
            </w:r>
            <w:r>
              <w:t>jejich morálním</w:t>
            </w:r>
            <w:r w:rsidR="00BC6DAD">
              <w:t xml:space="preserve"> a </w:t>
            </w:r>
            <w:r>
              <w:t>náboženským přesvědčením</w:t>
            </w:r>
            <w:r w:rsidR="00A53648">
              <w:t>,</w:t>
            </w:r>
          </w:p>
          <w:p w14:paraId="5E34F21F" w14:textId="77777777" w:rsidR="003D0AD2" w:rsidRPr="003D0AD2" w:rsidRDefault="003D0AD2" w:rsidP="00BC6DAD">
            <w:pPr>
              <w:jc w:val="both"/>
              <w:rPr>
                <w:lang w:val="en-US"/>
              </w:rPr>
            </w:pPr>
          </w:p>
          <w:p w14:paraId="30397DC8" w14:textId="77777777" w:rsidR="003D0AD2" w:rsidRPr="003D0AD2" w:rsidRDefault="003D0AD2" w:rsidP="00BC6DAD">
            <w:pPr>
              <w:pStyle w:val="Odstavecseseznamem"/>
              <w:numPr>
                <w:ilvl w:val="0"/>
                <w:numId w:val="4"/>
              </w:numPr>
              <w:jc w:val="both"/>
            </w:pPr>
            <w:r>
              <w:t>svoboda lidí</w:t>
            </w:r>
            <w:r w:rsidR="00BC6DAD">
              <w:t xml:space="preserve"> a </w:t>
            </w:r>
            <w:r>
              <w:t>organizací</w:t>
            </w:r>
            <w:r w:rsidR="00BC6DAD">
              <w:t xml:space="preserve"> v </w:t>
            </w:r>
            <w:r>
              <w:t>zakládání</w:t>
            </w:r>
            <w:r w:rsidR="00BC6DAD">
              <w:t xml:space="preserve"> a </w:t>
            </w:r>
            <w:r>
              <w:t>provozování vzdělávacích institucí</w:t>
            </w:r>
            <w:r w:rsidR="00BC6DAD">
              <w:t xml:space="preserve"> v </w:t>
            </w:r>
            <w:r>
              <w:t>souladu se základními požadavky státu</w:t>
            </w:r>
            <w:r w:rsidR="00A53648">
              <w:t>,</w:t>
            </w:r>
          </w:p>
          <w:p w14:paraId="289B386D" w14:textId="77777777" w:rsidR="003D0AD2" w:rsidRPr="003D0AD2" w:rsidRDefault="003D0AD2" w:rsidP="00BC6DAD">
            <w:pPr>
              <w:jc w:val="both"/>
              <w:rPr>
                <w:lang w:val="en-US"/>
              </w:rPr>
            </w:pPr>
          </w:p>
          <w:p w14:paraId="65D06E1C" w14:textId="77777777" w:rsidR="00664DF4" w:rsidRPr="003D0AD2" w:rsidRDefault="003D0AD2" w:rsidP="00BC6DAD">
            <w:pPr>
              <w:pStyle w:val="Odstavecseseznamem"/>
              <w:numPr>
                <w:ilvl w:val="0"/>
                <w:numId w:val="4"/>
              </w:numPr>
              <w:jc w:val="both"/>
            </w:pPr>
            <w:r>
              <w:t>akademická nezávislost vyučujících</w:t>
            </w:r>
            <w:r w:rsidR="00BC6DAD">
              <w:t xml:space="preserve"> a </w:t>
            </w:r>
            <w:r>
              <w:t>studentů</w:t>
            </w:r>
            <w:r w:rsidR="00A53648">
              <w:t>.</w:t>
            </w:r>
          </w:p>
          <w:p w14:paraId="081D1113" w14:textId="77777777" w:rsidR="003D0AD2" w:rsidRDefault="003D0AD2" w:rsidP="00BC6DAD">
            <w:pPr>
              <w:jc w:val="both"/>
              <w:rPr>
                <w:lang w:val="en-US"/>
              </w:rPr>
            </w:pPr>
          </w:p>
          <w:p w14:paraId="5E24C4C4" w14:textId="77777777" w:rsidR="00664DF4" w:rsidRPr="00BC3FCB" w:rsidRDefault="00BC3FCB" w:rsidP="00BC6DAD">
            <w:pPr>
              <w:jc w:val="both"/>
              <w:rPr>
                <w:b/>
                <w:bCs/>
              </w:rPr>
            </w:pPr>
            <w:r>
              <w:rPr>
                <w:b/>
              </w:rPr>
              <w:t xml:space="preserve">Základní předpoklad dalších lidských práv </w:t>
            </w:r>
          </w:p>
          <w:p w14:paraId="439D7C41" w14:textId="77777777" w:rsidR="00664DF4" w:rsidRDefault="00664DF4" w:rsidP="00BC6DAD">
            <w:pPr>
              <w:jc w:val="both"/>
              <w:rPr>
                <w:b/>
                <w:bCs/>
                <w:strike/>
                <w:lang w:val="en-US"/>
              </w:rPr>
            </w:pPr>
          </w:p>
          <w:p w14:paraId="0BB4966B" w14:textId="77777777" w:rsidR="004623AC" w:rsidRDefault="004623AC" w:rsidP="00BC6DAD">
            <w:pPr>
              <w:jc w:val="both"/>
            </w:pPr>
            <w:r>
              <w:t>Chybějící vzdělání ztěžuje lidem přístup</w:t>
            </w:r>
            <w:r w:rsidR="00BC6DAD">
              <w:t xml:space="preserve"> k </w:t>
            </w:r>
            <w:r>
              <w:t xml:space="preserve">zaměstnání. Nižší vzdělání často narušuje jejich kariérní postup. Zabezpečení na stáří je pak nepříznivě ovlivněno nižšími výdělky, přičemž odepření vzdělání </w:t>
            </w:r>
            <w:r w:rsidR="00A53648">
              <w:t>vede</w:t>
            </w:r>
            <w:r w:rsidR="00BC6DAD">
              <w:t xml:space="preserve"> k </w:t>
            </w:r>
            <w:r w:rsidR="00A53648">
              <w:t>vyloučení</w:t>
            </w:r>
            <w:r w:rsidR="00BC6DAD">
              <w:t xml:space="preserve"> z </w:t>
            </w:r>
            <w:r w:rsidR="00A53648">
              <w:t xml:space="preserve">trhu práce. </w:t>
            </w:r>
            <w:r>
              <w:t>Vyloučení</w:t>
            </w:r>
            <w:r w:rsidR="00BC6DAD">
              <w:t xml:space="preserve"> z </w:t>
            </w:r>
            <w:r>
              <w:t>programů sociálního zabezpečení kvůli předchozímu vyloučení</w:t>
            </w:r>
            <w:r w:rsidR="00BC6DAD">
              <w:t xml:space="preserve"> z </w:t>
            </w:r>
            <w:r>
              <w:t>trhu práce společně</w:t>
            </w:r>
            <w:r w:rsidR="00BC6DAD">
              <w:t xml:space="preserve"> s </w:t>
            </w:r>
            <w:r>
              <w:t>odsouváním lidí na okraj do neoficiálních sfér znamená zároveň, že je nemožné řešit aktuální nerovnosti</w:t>
            </w:r>
            <w:r w:rsidR="00BC6DAD">
              <w:t xml:space="preserve"> v </w:t>
            </w:r>
            <w:r>
              <w:t>životních příležitostech, aniž by bylo</w:t>
            </w:r>
            <w:r w:rsidR="00A53648">
              <w:t xml:space="preserve"> plně uznáno právo na vzdělání.</w:t>
            </w:r>
          </w:p>
          <w:p w14:paraId="29FB4151" w14:textId="77777777" w:rsidR="00A53648" w:rsidRPr="004623AC" w:rsidRDefault="00A53648" w:rsidP="00BC6DAD">
            <w:pPr>
              <w:jc w:val="both"/>
              <w:rPr>
                <w:bCs/>
              </w:rPr>
            </w:pPr>
          </w:p>
          <w:p w14:paraId="27058DFA" w14:textId="77777777" w:rsidR="00664DF4" w:rsidRDefault="004623AC" w:rsidP="00BC6DAD">
            <w:pPr>
              <w:jc w:val="both"/>
              <w:rPr>
                <w:bCs/>
              </w:rPr>
            </w:pPr>
            <w:r>
              <w:t>V mnoha zemích je negramotným lidem navíc odepřeno politické zastoupení.  Není-li tedy právo na vzdělání uznáno jako klíč</w:t>
            </w:r>
            <w:r w:rsidR="00BC6DAD">
              <w:t xml:space="preserve"> k </w:t>
            </w:r>
            <w:r>
              <w:t>přístupu</w:t>
            </w:r>
            <w:r w:rsidR="00BC6DAD">
              <w:t xml:space="preserve"> k </w:t>
            </w:r>
            <w:r>
              <w:t>dalším právům, zůstává nevyřešeno</w:t>
            </w:r>
            <w:r w:rsidR="00BC6DAD">
              <w:t xml:space="preserve"> i </w:t>
            </w:r>
            <w:r>
              <w:t>mnoho jiných problémů</w:t>
            </w:r>
            <w:r w:rsidR="00BC6DAD">
              <w:t xml:space="preserve"> z </w:t>
            </w:r>
            <w:r>
              <w:t>oblasti lidských práv.</w:t>
            </w:r>
          </w:p>
          <w:p w14:paraId="1B248996" w14:textId="77777777" w:rsidR="004623AC" w:rsidRDefault="004623AC" w:rsidP="00BC6DAD">
            <w:pPr>
              <w:jc w:val="both"/>
              <w:rPr>
                <w:b/>
                <w:bCs/>
                <w:strike/>
                <w:lang w:val="en-US"/>
              </w:rPr>
            </w:pPr>
          </w:p>
          <w:p w14:paraId="63BF0A32" w14:textId="77777777" w:rsidR="00A53648" w:rsidRPr="000067E8" w:rsidRDefault="00A53648" w:rsidP="00BC6DAD">
            <w:pPr>
              <w:jc w:val="both"/>
              <w:rPr>
                <w:b/>
                <w:bCs/>
                <w:strike/>
                <w:lang w:val="en-US"/>
              </w:rPr>
            </w:pPr>
          </w:p>
          <w:p w14:paraId="32F6FDAD" w14:textId="77777777" w:rsidR="00664DF4" w:rsidRDefault="00BC3FCB" w:rsidP="00BC6DAD">
            <w:pPr>
              <w:jc w:val="both"/>
              <w:rPr>
                <w:b/>
                <w:bCs/>
              </w:rPr>
            </w:pPr>
            <w:r>
              <w:rPr>
                <w:b/>
                <w:i/>
                <w:iCs/>
              </w:rPr>
              <w:t xml:space="preserve">Quo </w:t>
            </w:r>
            <w:proofErr w:type="spellStart"/>
            <w:r>
              <w:rPr>
                <w:b/>
                <w:i/>
                <w:iCs/>
              </w:rPr>
              <w:t>vadis</w:t>
            </w:r>
            <w:proofErr w:type="spellEnd"/>
            <w:r>
              <w:rPr>
                <w:b/>
              </w:rPr>
              <w:t>?</w:t>
            </w:r>
          </w:p>
          <w:p w14:paraId="486EA3B3" w14:textId="77777777" w:rsidR="00664DF4" w:rsidRDefault="00664DF4" w:rsidP="00BC6DAD">
            <w:pPr>
              <w:jc w:val="both"/>
              <w:rPr>
                <w:bCs/>
                <w:lang w:val="en-US"/>
              </w:rPr>
            </w:pPr>
          </w:p>
          <w:p w14:paraId="578AD94D" w14:textId="77777777" w:rsidR="004623AC" w:rsidRDefault="004623AC" w:rsidP="00BC6DAD">
            <w:pPr>
              <w:jc w:val="both"/>
              <w:rPr>
                <w:bCs/>
              </w:rPr>
            </w:pPr>
            <w:r>
              <w:t>Kategorie lidských práv, která jsou klasifikována jako občanská</w:t>
            </w:r>
            <w:r w:rsidR="00BC6DAD">
              <w:t xml:space="preserve"> a </w:t>
            </w:r>
            <w:r>
              <w:t>politická či jako hospodářská, sociální</w:t>
            </w:r>
            <w:r w:rsidR="00BC6DAD">
              <w:t xml:space="preserve"> a </w:t>
            </w:r>
            <w:r>
              <w:t>kulturní, se</w:t>
            </w:r>
            <w:r w:rsidR="00BC6DAD">
              <w:t xml:space="preserve"> s </w:t>
            </w:r>
            <w:r>
              <w:t>právem na vzdělání překrývají. Právo na vzdělání má univerzální charakter. Tato charakteristika podporuje ideu</w:t>
            </w:r>
            <w:r w:rsidR="00BC6DAD">
              <w:t xml:space="preserve"> o </w:t>
            </w:r>
            <w:r>
              <w:t>univerzálnosti lidských práv, jak ukazuje</w:t>
            </w:r>
            <w:r w:rsidR="00BC6DAD">
              <w:t xml:space="preserve"> i </w:t>
            </w:r>
            <w:r>
              <w:t>rostoucí důraz na práva dětí</w:t>
            </w:r>
            <w:r w:rsidR="00BC6DAD">
              <w:t xml:space="preserve"> a </w:t>
            </w:r>
            <w:r>
              <w:t>žen jako lidských bytostí. Pro plné odstranění genderové diskriminace</w:t>
            </w:r>
            <w:r w:rsidR="00BC6DAD">
              <w:t xml:space="preserve"> s </w:t>
            </w:r>
            <w:r>
              <w:t>ohledem na právo na vzdělání, lidská práva</w:t>
            </w:r>
            <w:r w:rsidR="00BC6DAD">
              <w:t xml:space="preserve"> v </w:t>
            </w:r>
            <w:r>
              <w:t>oblasti vzdělání</w:t>
            </w:r>
            <w:r w:rsidR="00BC6DAD">
              <w:t xml:space="preserve"> a </w:t>
            </w:r>
            <w:r>
              <w:t>zlepšení možnosti uplatňovat všechna práva</w:t>
            </w:r>
            <w:r w:rsidR="00BC6DAD">
              <w:t xml:space="preserve"> a </w:t>
            </w:r>
            <w:r>
              <w:t>svobody prostřednictvím vzdělání, je třeba podniknout další kroky. Uznává se, že diskriminaci žen nelze vymýtit, dokud je uměle rozdělována mezi různé kategorie práv.</w:t>
            </w:r>
          </w:p>
          <w:p w14:paraId="04BF3F8F" w14:textId="77777777" w:rsidR="004623AC" w:rsidRPr="00BC3FCB" w:rsidRDefault="004623AC" w:rsidP="00BC6DAD">
            <w:pPr>
              <w:jc w:val="both"/>
              <w:rPr>
                <w:rFonts w:ascii="Calibri" w:hAnsi="Calibri" w:cs="Calibri"/>
                <w:i/>
                <w:iCs/>
                <w:lang w:val="en-US"/>
              </w:rPr>
            </w:pPr>
          </w:p>
        </w:tc>
      </w:tr>
      <w:tr w:rsidR="00664DF4" w:rsidRPr="00470C01" w14:paraId="0E9009EA" w14:textId="77777777" w:rsidTr="00CD2B58">
        <w:tc>
          <w:tcPr>
            <w:tcW w:w="8494" w:type="dxa"/>
          </w:tcPr>
          <w:p w14:paraId="74DAF258" w14:textId="77777777" w:rsidR="00664DF4" w:rsidRPr="00470C01" w:rsidRDefault="00664DF4" w:rsidP="00BC6DAD">
            <w:pPr>
              <w:jc w:val="both"/>
              <w:rPr>
                <w:rFonts w:ascii="Calibri" w:hAnsi="Calibri" w:cs="Calibri"/>
              </w:rPr>
            </w:pPr>
            <w:r>
              <w:rPr>
                <w:b/>
              </w:rPr>
              <w:lastRenderedPageBreak/>
              <w:t>Judikatura SDEU</w:t>
            </w:r>
          </w:p>
        </w:tc>
      </w:tr>
      <w:tr w:rsidR="00664DF4" w:rsidRPr="00470C01" w14:paraId="50FD2D5E" w14:textId="77777777" w:rsidTr="00CD2B58">
        <w:tc>
          <w:tcPr>
            <w:tcW w:w="8494" w:type="dxa"/>
          </w:tcPr>
          <w:p w14:paraId="46D917DF" w14:textId="77777777" w:rsidR="00664DF4" w:rsidRDefault="00664DF4" w:rsidP="00BC6DAD">
            <w:pPr>
              <w:pStyle w:val="Odstavecseseznamem"/>
              <w:ind w:left="709"/>
              <w:jc w:val="both"/>
              <w:rPr>
                <w:b/>
                <w:bCs/>
              </w:rPr>
            </w:pPr>
          </w:p>
          <w:p w14:paraId="117592E4" w14:textId="77777777" w:rsidR="00130F17" w:rsidRPr="00556E79" w:rsidRDefault="00556E79" w:rsidP="00BC6DAD">
            <w:pPr>
              <w:pStyle w:val="Odstavecseseznamem"/>
              <w:numPr>
                <w:ilvl w:val="0"/>
                <w:numId w:val="3"/>
              </w:numPr>
              <w:jc w:val="both"/>
              <w:rPr>
                <w:b/>
                <w:bCs/>
              </w:rPr>
            </w:pPr>
            <w:r>
              <w:rPr>
                <w:b/>
              </w:rPr>
              <w:t>Rozsudek Soudního dvora, spojené věci C-804/18</w:t>
            </w:r>
            <w:r w:rsidR="00BC6DAD">
              <w:rPr>
                <w:b/>
              </w:rPr>
              <w:t xml:space="preserve"> a </w:t>
            </w:r>
            <w:r>
              <w:rPr>
                <w:b/>
              </w:rPr>
              <w:t xml:space="preserve">C-341/19: </w:t>
            </w:r>
            <w:r>
              <w:rPr>
                <w:b/>
                <w:i/>
                <w:iCs/>
              </w:rPr>
              <w:t>IX v. WABE eV</w:t>
            </w:r>
            <w:r w:rsidR="00BC6DAD">
              <w:rPr>
                <w:b/>
                <w:i/>
                <w:iCs/>
              </w:rPr>
              <w:t xml:space="preserve"> </w:t>
            </w:r>
            <w:r w:rsidR="00BC6DAD">
              <w:rPr>
                <w:b/>
                <w:i/>
                <w:iCs/>
              </w:rPr>
              <w:lastRenderedPageBreak/>
              <w:t>a </w:t>
            </w:r>
            <w:r>
              <w:rPr>
                <w:b/>
                <w:i/>
                <w:iCs/>
              </w:rPr>
              <w:t xml:space="preserve">MH Müller </w:t>
            </w:r>
            <w:proofErr w:type="spellStart"/>
            <w:r>
              <w:rPr>
                <w:b/>
                <w:i/>
                <w:iCs/>
              </w:rPr>
              <w:t>Handel</w:t>
            </w:r>
            <w:proofErr w:type="spellEnd"/>
            <w:r>
              <w:rPr>
                <w:b/>
                <w:i/>
                <w:iCs/>
              </w:rPr>
              <w:t xml:space="preserve"> </w:t>
            </w:r>
            <w:proofErr w:type="spellStart"/>
            <w:r>
              <w:rPr>
                <w:b/>
                <w:i/>
                <w:iCs/>
              </w:rPr>
              <w:t>GmbH</w:t>
            </w:r>
            <w:proofErr w:type="spellEnd"/>
            <w:r>
              <w:rPr>
                <w:b/>
                <w:i/>
                <w:iCs/>
              </w:rPr>
              <w:t xml:space="preserve"> v. MJ</w:t>
            </w:r>
          </w:p>
          <w:p w14:paraId="6690F63D" w14:textId="77777777" w:rsidR="00556E79" w:rsidRPr="00556E79" w:rsidRDefault="00556E79" w:rsidP="00BC6DAD">
            <w:pPr>
              <w:pStyle w:val="Odstavecseseznamem"/>
              <w:jc w:val="both"/>
              <w:rPr>
                <w:bCs/>
                <w:i/>
              </w:rPr>
            </w:pPr>
          </w:p>
          <w:p w14:paraId="624371F4" w14:textId="77777777" w:rsidR="00130F17" w:rsidRDefault="00D4054E" w:rsidP="00BC6DAD">
            <w:pPr>
              <w:jc w:val="both"/>
              <w:rPr>
                <w:bCs/>
                <w:i/>
              </w:rPr>
            </w:pPr>
            <w:r>
              <w:rPr>
                <w:i/>
              </w:rPr>
              <w:t>Klíčové pojmy: rovné zacházení</w:t>
            </w:r>
            <w:r w:rsidR="00BC6DAD">
              <w:rPr>
                <w:i/>
              </w:rPr>
              <w:t xml:space="preserve"> v </w:t>
            </w:r>
            <w:r>
              <w:rPr>
                <w:i/>
              </w:rPr>
              <w:t>zaměstnání</w:t>
            </w:r>
            <w:r w:rsidR="00BC6DAD">
              <w:rPr>
                <w:i/>
              </w:rPr>
              <w:t xml:space="preserve"> a </w:t>
            </w:r>
            <w:r>
              <w:rPr>
                <w:i/>
              </w:rPr>
              <w:t>povolání – diskriminace na základě náboženského vyznání nebo víry – interní pravidlo soukromého podniku, které zakazuje na pracovišti viditelné nošení jakéhokoliv politického, filozofického nebo náboženského symbolu nebo nošení nápadných</w:t>
            </w:r>
            <w:r w:rsidR="00BC6DAD">
              <w:rPr>
                <w:i/>
              </w:rPr>
              <w:t xml:space="preserve"> a </w:t>
            </w:r>
            <w:r>
              <w:rPr>
                <w:i/>
              </w:rPr>
              <w:t>rozměrných politických, filozofických nebo náboženských symbolů – přímá nebo nepřímá diskriminace – přiměřenost – vyvážení svobody náboženského vyznání</w:t>
            </w:r>
            <w:r w:rsidR="00BC6DAD">
              <w:rPr>
                <w:i/>
              </w:rPr>
              <w:t xml:space="preserve"> a </w:t>
            </w:r>
            <w:r>
              <w:rPr>
                <w:i/>
              </w:rPr>
              <w:t>jiných základních práv – legitimita politiky neutrality přijaté zaměstnavatelem – nezbytnost prokázat existenci hospodářské újmy zaměstnavatele</w:t>
            </w:r>
          </w:p>
          <w:p w14:paraId="507777C7" w14:textId="77777777" w:rsidR="00556E79" w:rsidRDefault="00556E79" w:rsidP="00BC6DAD">
            <w:pPr>
              <w:jc w:val="both"/>
              <w:rPr>
                <w:b/>
                <w:bCs/>
              </w:rPr>
            </w:pPr>
          </w:p>
          <w:p w14:paraId="123AFAD7" w14:textId="77777777" w:rsidR="00D4054E" w:rsidRPr="00556E79" w:rsidRDefault="00556E79" w:rsidP="00BC6DAD">
            <w:pPr>
              <w:pStyle w:val="Odstavecseseznamem"/>
              <w:numPr>
                <w:ilvl w:val="0"/>
                <w:numId w:val="3"/>
              </w:numPr>
              <w:jc w:val="both"/>
              <w:rPr>
                <w:b/>
                <w:bCs/>
              </w:rPr>
            </w:pPr>
            <w:r>
              <w:rPr>
                <w:b/>
              </w:rPr>
              <w:t xml:space="preserve">Rozsudek Soudního dvora, věc C-66/18: </w:t>
            </w:r>
            <w:r>
              <w:rPr>
                <w:b/>
                <w:i/>
                <w:iCs/>
              </w:rPr>
              <w:t>Evropská komise v. Maďarsko</w:t>
            </w:r>
          </w:p>
          <w:p w14:paraId="7BB5D302" w14:textId="77777777" w:rsidR="00664DF4" w:rsidRPr="003A5F4A" w:rsidRDefault="00664DF4" w:rsidP="00BC6DAD">
            <w:pPr>
              <w:jc w:val="both"/>
              <w:rPr>
                <w:rFonts w:eastAsia="Times New Roman" w:cstheme="minorHAnsi"/>
                <w:strike/>
                <w:color w:val="000000"/>
                <w:lang w:eastAsia="cs-CZ"/>
              </w:rPr>
            </w:pPr>
          </w:p>
          <w:p w14:paraId="096CE9D1" w14:textId="77777777" w:rsidR="00664DF4" w:rsidRDefault="00B86AAA" w:rsidP="00BC6DAD">
            <w:pPr>
              <w:jc w:val="both"/>
              <w:rPr>
                <w:bCs/>
                <w:i/>
              </w:rPr>
            </w:pPr>
            <w:r>
              <w:rPr>
                <w:i/>
              </w:rPr>
              <w:t>Klíčové pojmy: přípustnost – pravomoc Soudního dvora – Všeobecná dohoda</w:t>
            </w:r>
            <w:r w:rsidR="00BC6DAD">
              <w:rPr>
                <w:i/>
              </w:rPr>
              <w:t xml:space="preserve"> o </w:t>
            </w:r>
            <w:r>
              <w:rPr>
                <w:i/>
              </w:rPr>
              <w:t>obchodu službami – článek XVI – přístup na trh – Listina specifických závazků – podmínka existence povolení – článek XX odst. 2 – článek XVII – národní zacházení – poskytovatel služeb se sídlem</w:t>
            </w:r>
            <w:r w:rsidR="00BC6DAD">
              <w:rPr>
                <w:i/>
              </w:rPr>
              <w:t xml:space="preserve"> v </w:t>
            </w:r>
            <w:r>
              <w:rPr>
                <w:i/>
              </w:rPr>
              <w:t>třetím státě – vnitrostátní právní úprava členského státu stanovící podmínky pro poskytování služeb vysokoškolského vzdělávání na jeho území – požadavek uzavření mezinárodní smlouvy se státem sídla poskytovatele – požadavek poskytovat vzdělávání ve státě sídla poskytovatele – změna podmínek soutěže ve prospěch tuzemských poskytovatelů – odůvodnění – veřejný pořádek – zabránění klamavým praktikám</w:t>
            </w:r>
          </w:p>
          <w:p w14:paraId="3252B498" w14:textId="77777777" w:rsidR="0062393D" w:rsidRDefault="0062393D" w:rsidP="00BC6DAD">
            <w:pPr>
              <w:jc w:val="both"/>
              <w:rPr>
                <w:bCs/>
                <w:i/>
              </w:rPr>
            </w:pPr>
          </w:p>
          <w:p w14:paraId="29E6F181" w14:textId="77777777" w:rsidR="0062393D" w:rsidRPr="003D0AD2" w:rsidRDefault="003D0AD2" w:rsidP="00BC6DAD">
            <w:pPr>
              <w:pStyle w:val="Odstavecseseznamem"/>
              <w:numPr>
                <w:ilvl w:val="0"/>
                <w:numId w:val="3"/>
              </w:numPr>
              <w:jc w:val="both"/>
              <w:rPr>
                <w:b/>
                <w:iCs/>
              </w:rPr>
            </w:pPr>
            <w:r>
              <w:rPr>
                <w:b/>
              </w:rPr>
              <w:t xml:space="preserve">Rozsudek Soudního dvora, věc C-830/18: </w:t>
            </w:r>
            <w:proofErr w:type="spellStart"/>
            <w:r>
              <w:rPr>
                <w:b/>
                <w:i/>
                <w:iCs/>
              </w:rPr>
              <w:t>L</w:t>
            </w:r>
            <w:r w:rsidR="00A53648">
              <w:rPr>
                <w:b/>
                <w:i/>
                <w:iCs/>
              </w:rPr>
              <w:t>andkreis</w:t>
            </w:r>
            <w:proofErr w:type="spellEnd"/>
            <w:r w:rsidR="00A53648">
              <w:rPr>
                <w:b/>
                <w:i/>
                <w:iCs/>
              </w:rPr>
              <w:t xml:space="preserve"> </w:t>
            </w:r>
            <w:proofErr w:type="spellStart"/>
            <w:r w:rsidR="00A53648">
              <w:rPr>
                <w:b/>
                <w:i/>
                <w:iCs/>
              </w:rPr>
              <w:t>Südliche</w:t>
            </w:r>
            <w:proofErr w:type="spellEnd"/>
            <w:r w:rsidR="00A53648">
              <w:rPr>
                <w:b/>
                <w:i/>
                <w:iCs/>
              </w:rPr>
              <w:t xml:space="preserve"> </w:t>
            </w:r>
            <w:proofErr w:type="spellStart"/>
            <w:r w:rsidR="00A53648">
              <w:rPr>
                <w:b/>
                <w:i/>
                <w:iCs/>
              </w:rPr>
              <w:t>Weinstraße</w:t>
            </w:r>
            <w:proofErr w:type="spellEnd"/>
            <w:r w:rsidR="00A53648">
              <w:rPr>
                <w:b/>
                <w:i/>
                <w:iCs/>
              </w:rPr>
              <w:t xml:space="preserve"> v. </w:t>
            </w:r>
            <w:r>
              <w:rPr>
                <w:b/>
                <w:i/>
                <w:iCs/>
              </w:rPr>
              <w:t>PF a</w:t>
            </w:r>
            <w:r w:rsidR="00A53648">
              <w:rPr>
                <w:b/>
                <w:i/>
                <w:iCs/>
              </w:rPr>
              <w:t> </w:t>
            </w:r>
            <w:r>
              <w:rPr>
                <w:b/>
                <w:i/>
                <w:iCs/>
              </w:rPr>
              <w:t>další</w:t>
            </w:r>
          </w:p>
          <w:p w14:paraId="1BCBA3E1" w14:textId="77777777" w:rsidR="0062393D" w:rsidRDefault="0062393D" w:rsidP="00BC6DAD">
            <w:pPr>
              <w:jc w:val="both"/>
              <w:rPr>
                <w:b/>
                <w:iCs/>
                <w:lang w:val="en-US"/>
              </w:rPr>
            </w:pPr>
          </w:p>
          <w:p w14:paraId="6E5AA330" w14:textId="77777777" w:rsidR="003D0AD2" w:rsidRPr="003D0AD2" w:rsidRDefault="0062393D" w:rsidP="00BC6DAD">
            <w:pPr>
              <w:jc w:val="both"/>
              <w:rPr>
                <w:i/>
                <w:iCs/>
              </w:rPr>
            </w:pPr>
            <w:r>
              <w:rPr>
                <w:i/>
              </w:rPr>
              <w:t xml:space="preserve">Klíčové pojmy: volný pohyb pracovníků – nařízení (EU) </w:t>
            </w:r>
            <w:r w:rsidR="00BC6DAD">
              <w:rPr>
                <w:i/>
              </w:rPr>
              <w:t>č. </w:t>
            </w:r>
            <w:r>
              <w:rPr>
                <w:i/>
              </w:rPr>
              <w:t>492/2011 – děti příhraničních pracovníků – sociální výhody – systém úhrady nákladů na školní dopravu – podmínka bydliště ve spolkové zemi – vyloučení dětí plnících školní docházku</w:t>
            </w:r>
            <w:r w:rsidR="00BC6DAD">
              <w:rPr>
                <w:i/>
              </w:rPr>
              <w:t xml:space="preserve"> v </w:t>
            </w:r>
            <w:r>
              <w:rPr>
                <w:i/>
              </w:rPr>
              <w:t>této spolkové zemi, které mají bydliště</w:t>
            </w:r>
            <w:r w:rsidR="00BC6DAD">
              <w:rPr>
                <w:i/>
              </w:rPr>
              <w:t xml:space="preserve"> v </w:t>
            </w:r>
            <w:r>
              <w:rPr>
                <w:i/>
              </w:rPr>
              <w:t>jiném členském státě, než je členský stát,</w:t>
            </w:r>
            <w:r w:rsidR="00BC6DAD">
              <w:rPr>
                <w:i/>
              </w:rPr>
              <w:t xml:space="preserve"> v </w:t>
            </w:r>
            <w:r>
              <w:rPr>
                <w:i/>
              </w:rPr>
              <w:t>němž má sídlo navštěvované školské zařízení – vyloučení tuzemských státních příslušníků, kteří mají bydliště</w:t>
            </w:r>
            <w:r w:rsidR="00BC6DAD">
              <w:rPr>
                <w:i/>
              </w:rPr>
              <w:t xml:space="preserve"> v </w:t>
            </w:r>
            <w:r>
              <w:rPr>
                <w:i/>
              </w:rPr>
              <w:t>jiných spolkových zemích</w:t>
            </w:r>
          </w:p>
          <w:p w14:paraId="263347F9" w14:textId="77777777" w:rsidR="0062393D" w:rsidRDefault="0062393D" w:rsidP="00BC6DAD">
            <w:pPr>
              <w:jc w:val="both"/>
              <w:rPr>
                <w:b/>
                <w:iCs/>
                <w:lang w:val="en-US"/>
              </w:rPr>
            </w:pPr>
          </w:p>
          <w:p w14:paraId="185CE5B7" w14:textId="77777777" w:rsidR="0062393D" w:rsidRPr="003D0AD2" w:rsidRDefault="003D0AD2" w:rsidP="00BC6DAD">
            <w:pPr>
              <w:pStyle w:val="Odstavecseseznamem"/>
              <w:numPr>
                <w:ilvl w:val="0"/>
                <w:numId w:val="3"/>
              </w:numPr>
              <w:jc w:val="both"/>
              <w:rPr>
                <w:b/>
                <w:iCs/>
              </w:rPr>
            </w:pPr>
            <w:r>
              <w:rPr>
                <w:b/>
              </w:rPr>
              <w:t xml:space="preserve">Rozsudek Soudního dvora, věc C-161/17: </w:t>
            </w:r>
            <w:r>
              <w:rPr>
                <w:b/>
                <w:i/>
                <w:iCs/>
              </w:rPr>
              <w:t xml:space="preserve">Land </w:t>
            </w:r>
            <w:proofErr w:type="spellStart"/>
            <w:r>
              <w:rPr>
                <w:b/>
                <w:i/>
                <w:iCs/>
              </w:rPr>
              <w:t>Nordrhein-Westfalen</w:t>
            </w:r>
            <w:proofErr w:type="spellEnd"/>
            <w:r>
              <w:rPr>
                <w:b/>
                <w:i/>
                <w:iCs/>
              </w:rPr>
              <w:t xml:space="preserve"> v. </w:t>
            </w:r>
            <w:proofErr w:type="spellStart"/>
            <w:r>
              <w:rPr>
                <w:b/>
                <w:i/>
                <w:iCs/>
              </w:rPr>
              <w:t>Dirk</w:t>
            </w:r>
            <w:proofErr w:type="spellEnd"/>
            <w:r>
              <w:rPr>
                <w:b/>
                <w:i/>
                <w:iCs/>
              </w:rPr>
              <w:t xml:space="preserve"> </w:t>
            </w:r>
            <w:proofErr w:type="spellStart"/>
            <w:r>
              <w:rPr>
                <w:b/>
                <w:i/>
                <w:iCs/>
              </w:rPr>
              <w:t>Renckhoff</w:t>
            </w:r>
            <w:proofErr w:type="spellEnd"/>
          </w:p>
          <w:p w14:paraId="3EE5512E" w14:textId="77777777" w:rsidR="0062393D" w:rsidRDefault="0062393D" w:rsidP="00BC6DAD">
            <w:pPr>
              <w:jc w:val="both"/>
              <w:rPr>
                <w:b/>
                <w:iCs/>
                <w:lang w:val="en-US"/>
              </w:rPr>
            </w:pPr>
          </w:p>
          <w:p w14:paraId="7E683849" w14:textId="77777777" w:rsidR="0062393D" w:rsidRDefault="0062393D" w:rsidP="00BC6DAD">
            <w:pPr>
              <w:jc w:val="both"/>
              <w:rPr>
                <w:i/>
                <w:iCs/>
              </w:rPr>
            </w:pPr>
            <w:r>
              <w:rPr>
                <w:i/>
              </w:rPr>
              <w:t>Klíčové pojmy: informační společnost – harmonizace určitých aspektů autorského práva</w:t>
            </w:r>
            <w:r w:rsidR="00BC6DAD">
              <w:rPr>
                <w:i/>
              </w:rPr>
              <w:t xml:space="preserve"> a </w:t>
            </w:r>
            <w:r>
              <w:rPr>
                <w:i/>
              </w:rPr>
              <w:t>práv</w:t>
            </w:r>
            <w:r w:rsidR="00BC6DAD">
              <w:rPr>
                <w:i/>
              </w:rPr>
              <w:t xml:space="preserve"> s </w:t>
            </w:r>
            <w:r>
              <w:rPr>
                <w:i/>
              </w:rPr>
              <w:t>ním souvisejících – článek 3 odst. 1 – sdělování veřejnosti – pojem – zpřístupnění online na internetových stránkách bez svolení nositele autorského práva fotografie, která předtím byla bez omezujícího opatření</w:t>
            </w:r>
            <w:r w:rsidR="00BC6DAD">
              <w:rPr>
                <w:i/>
              </w:rPr>
              <w:t xml:space="preserve"> a </w:t>
            </w:r>
            <w:r>
              <w:rPr>
                <w:i/>
              </w:rPr>
              <w:t>se svolením uvedeného nositele zveřejněna na jiných internetových stránkách – nová veřejnost</w:t>
            </w:r>
          </w:p>
          <w:p w14:paraId="7F443BE8" w14:textId="77777777" w:rsidR="00556E79" w:rsidRDefault="00556E79" w:rsidP="00BC6DAD">
            <w:pPr>
              <w:jc w:val="both"/>
              <w:rPr>
                <w:b/>
                <w:iCs/>
                <w:lang w:val="en-US"/>
              </w:rPr>
            </w:pPr>
          </w:p>
          <w:p w14:paraId="77BB28FE" w14:textId="77777777" w:rsidR="0062393D" w:rsidRDefault="0062393D" w:rsidP="00BC6DAD">
            <w:pPr>
              <w:pStyle w:val="Odstavecseseznamem"/>
              <w:numPr>
                <w:ilvl w:val="0"/>
                <w:numId w:val="3"/>
              </w:numPr>
              <w:jc w:val="both"/>
              <w:rPr>
                <w:b/>
                <w:iCs/>
              </w:rPr>
            </w:pPr>
            <w:r>
              <w:rPr>
                <w:b/>
              </w:rPr>
              <w:t xml:space="preserve">Rozsudek Soudního dvora, věc C-161/17: Stanovisko </w:t>
            </w:r>
            <w:r>
              <w:rPr>
                <w:b/>
                <w:i/>
                <w:iCs/>
              </w:rPr>
              <w:t xml:space="preserve">Land </w:t>
            </w:r>
            <w:proofErr w:type="spellStart"/>
            <w:r>
              <w:rPr>
                <w:b/>
                <w:i/>
                <w:iCs/>
              </w:rPr>
              <w:t>Nordrhein-Westfalen</w:t>
            </w:r>
            <w:proofErr w:type="spellEnd"/>
            <w:r>
              <w:rPr>
                <w:b/>
                <w:i/>
                <w:iCs/>
              </w:rPr>
              <w:t xml:space="preserve"> v. </w:t>
            </w:r>
            <w:proofErr w:type="spellStart"/>
            <w:r>
              <w:rPr>
                <w:b/>
                <w:i/>
                <w:iCs/>
              </w:rPr>
              <w:t>Dirk</w:t>
            </w:r>
            <w:proofErr w:type="spellEnd"/>
            <w:r>
              <w:rPr>
                <w:b/>
                <w:i/>
                <w:iCs/>
              </w:rPr>
              <w:t xml:space="preserve"> </w:t>
            </w:r>
            <w:proofErr w:type="spellStart"/>
            <w:r>
              <w:rPr>
                <w:b/>
                <w:i/>
                <w:iCs/>
              </w:rPr>
              <w:t>Renckhoff</w:t>
            </w:r>
            <w:proofErr w:type="spellEnd"/>
          </w:p>
          <w:p w14:paraId="62207FE6" w14:textId="77777777" w:rsidR="003D0AD2" w:rsidRPr="003D0AD2" w:rsidRDefault="003D0AD2" w:rsidP="00BC6DAD">
            <w:pPr>
              <w:pStyle w:val="Odstavecseseznamem"/>
              <w:jc w:val="both"/>
              <w:rPr>
                <w:b/>
                <w:iCs/>
                <w:lang w:val="en-US"/>
              </w:rPr>
            </w:pPr>
          </w:p>
          <w:p w14:paraId="13D77C7D" w14:textId="77777777" w:rsidR="0062393D" w:rsidRDefault="0062393D" w:rsidP="00BC6DAD">
            <w:pPr>
              <w:jc w:val="both"/>
              <w:rPr>
                <w:i/>
                <w:iCs/>
              </w:rPr>
            </w:pPr>
            <w:r>
              <w:rPr>
                <w:i/>
              </w:rPr>
              <w:t>Klíčové pojmy: autorské právo</w:t>
            </w:r>
            <w:r w:rsidR="00BC6DAD">
              <w:rPr>
                <w:i/>
              </w:rPr>
              <w:t xml:space="preserve"> a </w:t>
            </w:r>
            <w:r>
              <w:rPr>
                <w:i/>
              </w:rPr>
              <w:t>práva</w:t>
            </w:r>
            <w:r w:rsidR="00BC6DAD">
              <w:rPr>
                <w:i/>
              </w:rPr>
              <w:t xml:space="preserve"> s </w:t>
            </w:r>
            <w:r>
              <w:rPr>
                <w:i/>
              </w:rPr>
              <w:t>ním související</w:t>
            </w:r>
            <w:r w:rsidR="00BC6DAD">
              <w:rPr>
                <w:i/>
              </w:rPr>
              <w:t xml:space="preserve"> v </w:t>
            </w:r>
            <w:r>
              <w:rPr>
                <w:i/>
              </w:rPr>
              <w:t xml:space="preserve">informační společnosti – pojem sdělování veřejnosti – zpřístupnění chráněného díla na internetovém portálu, </w:t>
            </w:r>
            <w:r>
              <w:rPr>
                <w:i/>
              </w:rPr>
              <w:lastRenderedPageBreak/>
              <w:t>přístupného všem uživatelům internetu na jiném internetovém portálu – situace, kdy bylo dílo rozmnoženo na server bez souhlasu nositele autorského práva</w:t>
            </w:r>
          </w:p>
          <w:p w14:paraId="4CCF8A65" w14:textId="77777777" w:rsidR="00556E79" w:rsidRPr="0062393D" w:rsidRDefault="00556E79" w:rsidP="00BC6DAD">
            <w:pPr>
              <w:jc w:val="both"/>
              <w:rPr>
                <w:b/>
                <w:iCs/>
                <w:lang w:val="en-US"/>
              </w:rPr>
            </w:pPr>
          </w:p>
        </w:tc>
      </w:tr>
      <w:tr w:rsidR="00664DF4" w:rsidRPr="00470C01" w14:paraId="0609D403" w14:textId="77777777" w:rsidTr="00CD2B58">
        <w:tc>
          <w:tcPr>
            <w:tcW w:w="8494" w:type="dxa"/>
          </w:tcPr>
          <w:p w14:paraId="1BC23F79" w14:textId="77777777" w:rsidR="00664DF4" w:rsidRPr="00470C01" w:rsidRDefault="00664DF4" w:rsidP="00BC6DA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/>
                <w:b/>
              </w:rPr>
              <w:lastRenderedPageBreak/>
              <w:t>Důležité</w:t>
            </w:r>
          </w:p>
        </w:tc>
      </w:tr>
      <w:tr w:rsidR="00664DF4" w:rsidRPr="00470C01" w14:paraId="2C0E221C" w14:textId="77777777" w:rsidTr="00CD2B58">
        <w:tc>
          <w:tcPr>
            <w:tcW w:w="8494" w:type="dxa"/>
          </w:tcPr>
          <w:p w14:paraId="42171C68" w14:textId="77777777" w:rsidR="00DA4105" w:rsidRPr="00D306E2" w:rsidRDefault="00DA4105" w:rsidP="00BC6DAD">
            <w:pPr>
              <w:jc w:val="both"/>
              <w:rPr>
                <w:rFonts w:ascii="Calibri" w:hAnsi="Calibri" w:cs="Calibri"/>
                <w:iCs/>
              </w:rPr>
            </w:pPr>
            <w:r>
              <w:rPr>
                <w:rFonts w:ascii="Calibri" w:hAnsi="Calibri"/>
              </w:rPr>
              <w:t>Stále více platí, že vzdělání je zásadní pro rozvoj</w:t>
            </w:r>
            <w:r w:rsidR="00BC6DAD">
              <w:rPr>
                <w:rFonts w:ascii="Calibri" w:hAnsi="Calibri"/>
              </w:rPr>
              <w:t xml:space="preserve"> a </w:t>
            </w:r>
            <w:r>
              <w:rPr>
                <w:rFonts w:ascii="Calibri" w:hAnsi="Calibri"/>
              </w:rPr>
              <w:t>přístup</w:t>
            </w:r>
            <w:r w:rsidR="00BC6DAD">
              <w:rPr>
                <w:rFonts w:ascii="Calibri" w:hAnsi="Calibri"/>
              </w:rPr>
              <w:t xml:space="preserve"> k </w:t>
            </w:r>
            <w:r>
              <w:rPr>
                <w:rFonts w:ascii="Calibri" w:hAnsi="Calibri"/>
              </w:rPr>
              <w:t>němu je podstatný pro výkon mnoha dalších základních práv. Zřídkakdy se uvažuje opačně. Odepření práva na vzdělání má dominový efekt</w:t>
            </w:r>
            <w:r w:rsidR="00BC6DAD">
              <w:rPr>
                <w:rFonts w:ascii="Calibri" w:hAnsi="Calibri"/>
              </w:rPr>
              <w:t xml:space="preserve"> v </w:t>
            </w:r>
            <w:r>
              <w:rPr>
                <w:rFonts w:ascii="Calibri" w:hAnsi="Calibri"/>
              </w:rPr>
              <w:t>tom, že vytlačuje jeho oběti – které tak zůstávají na okraji vnitrostátního</w:t>
            </w:r>
            <w:r w:rsidR="00BC6DAD">
              <w:rPr>
                <w:rFonts w:ascii="Calibri" w:hAnsi="Calibri"/>
              </w:rPr>
              <w:t xml:space="preserve"> a </w:t>
            </w:r>
            <w:r>
              <w:rPr>
                <w:rFonts w:ascii="Calibri" w:hAnsi="Calibri"/>
              </w:rPr>
              <w:t>mezinárodního zájmu – mimo příležitosti</w:t>
            </w:r>
            <w:r w:rsidR="00BC6DAD">
              <w:rPr>
                <w:rFonts w:ascii="Calibri" w:hAnsi="Calibri"/>
              </w:rPr>
              <w:t xml:space="preserve"> k </w:t>
            </w:r>
            <w:r>
              <w:rPr>
                <w:rFonts w:ascii="Calibri" w:hAnsi="Calibri"/>
              </w:rPr>
              <w:t>zaměstnání, sociálnímu zabezpečení</w:t>
            </w:r>
            <w:r w:rsidR="00BC6DAD">
              <w:rPr>
                <w:rFonts w:ascii="Calibri" w:hAnsi="Calibri"/>
              </w:rPr>
              <w:t xml:space="preserve"> a </w:t>
            </w:r>
            <w:r>
              <w:rPr>
                <w:rFonts w:ascii="Calibri" w:hAnsi="Calibri"/>
              </w:rPr>
              <w:t>politickému zastoupení. Propojenost hospodářských</w:t>
            </w:r>
            <w:r w:rsidR="00BC6DAD">
              <w:rPr>
                <w:rFonts w:ascii="Calibri" w:hAnsi="Calibri"/>
              </w:rPr>
              <w:t xml:space="preserve"> a </w:t>
            </w:r>
            <w:r>
              <w:rPr>
                <w:rFonts w:ascii="Calibri" w:hAnsi="Calibri"/>
              </w:rPr>
              <w:t>sociálních práv je demonstrována nutností překonávat vedle vnitrostátních</w:t>
            </w:r>
            <w:r w:rsidR="00BC6DAD">
              <w:rPr>
                <w:rFonts w:ascii="Calibri" w:hAnsi="Calibri"/>
              </w:rPr>
              <w:t xml:space="preserve"> i </w:t>
            </w:r>
            <w:r>
              <w:rPr>
                <w:rFonts w:ascii="Calibri" w:hAnsi="Calibri"/>
              </w:rPr>
              <w:t>celosvětové překážky. Poskytovatelé vzdělání, tvůrci vzdělávacích přístupů, ekonomové</w:t>
            </w:r>
            <w:r w:rsidR="00BC6DAD">
              <w:rPr>
                <w:rFonts w:ascii="Calibri" w:hAnsi="Calibri"/>
              </w:rPr>
              <w:t xml:space="preserve"> a </w:t>
            </w:r>
            <w:r>
              <w:rPr>
                <w:rFonts w:ascii="Calibri" w:hAnsi="Calibri"/>
              </w:rPr>
              <w:t>advokáti</w:t>
            </w:r>
            <w:r w:rsidR="00BC6DAD">
              <w:rPr>
                <w:rFonts w:ascii="Calibri" w:hAnsi="Calibri"/>
              </w:rPr>
              <w:t xml:space="preserve"> v </w:t>
            </w:r>
            <w:r>
              <w:rPr>
                <w:rFonts w:ascii="Calibri" w:hAnsi="Calibri"/>
              </w:rPr>
              <w:t>oblasti lidských práv musí na prosazování práva na vzdělání úzce spolupracovat</w:t>
            </w:r>
            <w:r w:rsidR="00BC6DAD">
              <w:rPr>
                <w:rFonts w:ascii="Calibri" w:hAnsi="Calibri"/>
              </w:rPr>
              <w:t xml:space="preserve"> k </w:t>
            </w:r>
            <w:r>
              <w:rPr>
                <w:rFonts w:ascii="Calibri" w:hAnsi="Calibri"/>
              </w:rPr>
              <w:t>zajištění toho, aby lidská práva byla</w:t>
            </w:r>
            <w:r w:rsidR="00BC6DAD">
              <w:rPr>
                <w:rFonts w:ascii="Calibri" w:hAnsi="Calibri"/>
              </w:rPr>
              <w:t xml:space="preserve"> v </w:t>
            </w:r>
            <w:r>
              <w:rPr>
                <w:rFonts w:ascii="Calibri" w:hAnsi="Calibri"/>
              </w:rPr>
              <w:t>centru zájmu vzdělávacích politik na všech úrovních, od místních až</w:t>
            </w:r>
            <w:r w:rsidR="00BC6DAD">
              <w:rPr>
                <w:rFonts w:ascii="Calibri" w:hAnsi="Calibri"/>
              </w:rPr>
              <w:t xml:space="preserve"> k </w:t>
            </w:r>
            <w:r>
              <w:rPr>
                <w:rFonts w:ascii="Calibri" w:hAnsi="Calibri"/>
              </w:rPr>
              <w:t>celosvětovým.</w:t>
            </w:r>
          </w:p>
          <w:p w14:paraId="0BA986CB" w14:textId="77777777" w:rsidR="00D306E2" w:rsidRDefault="00D306E2" w:rsidP="00BC6DAD">
            <w:pPr>
              <w:jc w:val="both"/>
              <w:rPr>
                <w:rFonts w:ascii="Calibri" w:hAnsi="Calibri" w:cs="Calibri"/>
                <w:iCs/>
                <w:lang w:val="en-US"/>
              </w:rPr>
            </w:pPr>
          </w:p>
          <w:p w14:paraId="01A4D864" w14:textId="77777777" w:rsidR="00BC6DAD" w:rsidRPr="00D306E2" w:rsidRDefault="00BC6DAD" w:rsidP="00BC6DAD">
            <w:pPr>
              <w:jc w:val="both"/>
              <w:rPr>
                <w:rFonts w:ascii="Calibri" w:hAnsi="Calibri" w:cs="Calibri"/>
                <w:iCs/>
                <w:lang w:val="en-US"/>
              </w:rPr>
            </w:pPr>
          </w:p>
        </w:tc>
      </w:tr>
      <w:tr w:rsidR="00664DF4" w:rsidRPr="00470C01" w14:paraId="5C1F7F6D" w14:textId="77777777" w:rsidTr="00CD2B58">
        <w:tc>
          <w:tcPr>
            <w:tcW w:w="8494" w:type="dxa"/>
          </w:tcPr>
          <w:p w14:paraId="353F6557" w14:textId="77777777" w:rsidR="00664DF4" w:rsidRPr="00470C01" w:rsidRDefault="00664DF4" w:rsidP="00BC6DA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/>
                <w:b/>
              </w:rPr>
              <w:t>Soulad</w:t>
            </w:r>
            <w:r w:rsidR="00BC6DAD">
              <w:rPr>
                <w:rFonts w:ascii="Calibri" w:hAnsi="Calibri"/>
                <w:b/>
              </w:rPr>
              <w:t xml:space="preserve"> s </w:t>
            </w:r>
            <w:r>
              <w:rPr>
                <w:rFonts w:ascii="Calibri" w:hAnsi="Calibri"/>
                <w:b/>
              </w:rPr>
              <w:t>dalšími evropskými/mezinárodními dokumenty</w:t>
            </w:r>
          </w:p>
        </w:tc>
      </w:tr>
      <w:tr w:rsidR="00664DF4" w:rsidRPr="00470C01" w14:paraId="3CED0D99" w14:textId="77777777" w:rsidTr="00CD2B58">
        <w:tc>
          <w:tcPr>
            <w:tcW w:w="8494" w:type="dxa"/>
          </w:tcPr>
          <w:p w14:paraId="3F685F5D" w14:textId="77777777" w:rsidR="00664DF4" w:rsidRDefault="00664DF4" w:rsidP="00BC6DAD">
            <w:pPr>
              <w:jc w:val="both"/>
              <w:rPr>
                <w:rFonts w:ascii="Calibri" w:hAnsi="Calibri" w:cs="Calibri"/>
                <w:i/>
                <w:iCs/>
                <w:lang w:val="en-US"/>
              </w:rPr>
            </w:pPr>
          </w:p>
          <w:p w14:paraId="221F3E04" w14:textId="77777777" w:rsidR="003D0AD2" w:rsidRPr="003D0AD2" w:rsidRDefault="003D0AD2" w:rsidP="00BC6DAD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Všeobecná deklarace lidských práv (UDHR), přijatá</w:t>
            </w:r>
            <w:r w:rsidR="00BC6DAD">
              <w:rPr>
                <w:rFonts w:ascii="Calibri" w:hAnsi="Calibri"/>
              </w:rPr>
              <w:t xml:space="preserve"> v </w:t>
            </w:r>
            <w:r>
              <w:rPr>
                <w:rFonts w:ascii="Calibri" w:hAnsi="Calibri"/>
              </w:rPr>
              <w:t>roce 1948, uvádí</w:t>
            </w:r>
            <w:r w:rsidR="00BC6DAD">
              <w:rPr>
                <w:rFonts w:ascii="Calibri" w:hAnsi="Calibri"/>
              </w:rPr>
              <w:t xml:space="preserve"> v </w:t>
            </w:r>
            <w:r>
              <w:rPr>
                <w:rFonts w:ascii="Calibri" w:hAnsi="Calibri"/>
              </w:rPr>
              <w:t>článku 26: „Každý má právo na vzdělání.“ Od té doby bylo právo na vzdělání opakovaně deklarováno</w:t>
            </w:r>
            <w:r w:rsidR="00BC6DAD">
              <w:rPr>
                <w:rFonts w:ascii="Calibri" w:hAnsi="Calibri"/>
              </w:rPr>
              <w:t xml:space="preserve"> v </w:t>
            </w:r>
            <w:r>
              <w:rPr>
                <w:rFonts w:ascii="Calibri" w:hAnsi="Calibri"/>
              </w:rPr>
              <w:t>různých dalších mezinárodních úmluvách včetně následujících:</w:t>
            </w:r>
          </w:p>
          <w:p w14:paraId="239AE104" w14:textId="77777777" w:rsidR="003D0AD2" w:rsidRPr="003D0AD2" w:rsidRDefault="003D0AD2" w:rsidP="00BC6DAD">
            <w:pPr>
              <w:jc w:val="both"/>
              <w:rPr>
                <w:rFonts w:ascii="Calibri" w:hAnsi="Calibri" w:cs="Calibri"/>
                <w:lang w:val="en-US"/>
              </w:rPr>
            </w:pPr>
          </w:p>
          <w:p w14:paraId="07B72DD3" w14:textId="77777777" w:rsidR="003D0AD2" w:rsidRPr="003D0AD2" w:rsidRDefault="003D0AD2" w:rsidP="00BC6DAD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Úmluva UNESCO</w:t>
            </w:r>
            <w:r w:rsidR="00BC6DAD">
              <w:rPr>
                <w:rFonts w:ascii="Calibri" w:hAnsi="Calibri"/>
              </w:rPr>
              <w:t xml:space="preserve"> o </w:t>
            </w:r>
            <w:r>
              <w:rPr>
                <w:rFonts w:ascii="Calibri" w:hAnsi="Calibri"/>
              </w:rPr>
              <w:t>boji proti diskriminaci</w:t>
            </w:r>
            <w:r w:rsidR="00BC6DAD">
              <w:rPr>
                <w:rFonts w:ascii="Calibri" w:hAnsi="Calibri"/>
              </w:rPr>
              <w:t xml:space="preserve"> v </w:t>
            </w:r>
            <w:r>
              <w:rPr>
                <w:rFonts w:ascii="Calibri" w:hAnsi="Calibri"/>
              </w:rPr>
              <w:t>oblasti vzdělání (1960)</w:t>
            </w:r>
            <w:r w:rsidR="00A53648">
              <w:rPr>
                <w:rFonts w:ascii="Calibri" w:hAnsi="Calibri"/>
              </w:rPr>
              <w:t>,</w:t>
            </w:r>
          </w:p>
          <w:p w14:paraId="1965A330" w14:textId="77777777" w:rsidR="003D0AD2" w:rsidRPr="003D0AD2" w:rsidRDefault="003D0AD2" w:rsidP="00BC6DAD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Úmluva</w:t>
            </w:r>
            <w:r w:rsidR="00BC6DAD">
              <w:rPr>
                <w:rFonts w:ascii="Calibri" w:hAnsi="Calibri"/>
              </w:rPr>
              <w:t xml:space="preserve"> o </w:t>
            </w:r>
            <w:r>
              <w:rPr>
                <w:rFonts w:ascii="Calibri" w:hAnsi="Calibri"/>
              </w:rPr>
              <w:t>odstranění všech forem rasové diskriminace (1965)</w:t>
            </w:r>
            <w:r w:rsidR="00A53648">
              <w:rPr>
                <w:rFonts w:ascii="Calibri" w:hAnsi="Calibri"/>
              </w:rPr>
              <w:t>,</w:t>
            </w:r>
          </w:p>
          <w:p w14:paraId="6B32305E" w14:textId="77777777" w:rsidR="003D0AD2" w:rsidRPr="003D0AD2" w:rsidRDefault="003D0AD2" w:rsidP="00BC6DAD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Mezinárodní pakt</w:t>
            </w:r>
            <w:r w:rsidR="00BC6DAD">
              <w:rPr>
                <w:rFonts w:ascii="Calibri" w:hAnsi="Calibri"/>
              </w:rPr>
              <w:t xml:space="preserve"> o </w:t>
            </w:r>
            <w:r>
              <w:rPr>
                <w:rFonts w:ascii="Calibri" w:hAnsi="Calibri"/>
              </w:rPr>
              <w:t>hospodářských, sociálních</w:t>
            </w:r>
            <w:r w:rsidR="00BC6DAD">
              <w:rPr>
                <w:rFonts w:ascii="Calibri" w:hAnsi="Calibri"/>
              </w:rPr>
              <w:t xml:space="preserve"> a </w:t>
            </w:r>
            <w:r>
              <w:rPr>
                <w:rFonts w:ascii="Calibri" w:hAnsi="Calibri"/>
              </w:rPr>
              <w:t>kulturních právech (1966)</w:t>
            </w:r>
            <w:r w:rsidR="00A53648">
              <w:rPr>
                <w:rFonts w:ascii="Calibri" w:hAnsi="Calibri"/>
              </w:rPr>
              <w:t>,</w:t>
            </w:r>
          </w:p>
          <w:p w14:paraId="7F766E5F" w14:textId="77777777" w:rsidR="003D0AD2" w:rsidRPr="003D0AD2" w:rsidRDefault="003D0AD2" w:rsidP="00BC6DAD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Úmluva</w:t>
            </w:r>
            <w:r w:rsidR="00BC6DAD">
              <w:rPr>
                <w:rFonts w:ascii="Calibri" w:hAnsi="Calibri"/>
              </w:rPr>
              <w:t xml:space="preserve"> o </w:t>
            </w:r>
            <w:r>
              <w:rPr>
                <w:rFonts w:ascii="Calibri" w:hAnsi="Calibri"/>
              </w:rPr>
              <w:t>odstranění všech forem diskriminace žen (1979)</w:t>
            </w:r>
            <w:r w:rsidR="00A53648">
              <w:rPr>
                <w:rFonts w:ascii="Calibri" w:hAnsi="Calibri"/>
              </w:rPr>
              <w:t>,</w:t>
            </w:r>
          </w:p>
          <w:p w14:paraId="7D7525D3" w14:textId="77777777" w:rsidR="003D0AD2" w:rsidRPr="003D0AD2" w:rsidRDefault="003D0AD2" w:rsidP="00BC6DAD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Úmluva</w:t>
            </w:r>
            <w:r w:rsidR="00BC6DAD">
              <w:rPr>
                <w:rFonts w:ascii="Calibri" w:hAnsi="Calibri"/>
              </w:rPr>
              <w:t xml:space="preserve"> o </w:t>
            </w:r>
            <w:r>
              <w:rPr>
                <w:rFonts w:ascii="Calibri" w:hAnsi="Calibri"/>
              </w:rPr>
              <w:t>právech dítěte (1989)</w:t>
            </w:r>
            <w:r w:rsidR="00A53648">
              <w:rPr>
                <w:rFonts w:ascii="Calibri" w:hAnsi="Calibri"/>
              </w:rPr>
              <w:t>,</w:t>
            </w:r>
          </w:p>
          <w:p w14:paraId="1238FE79" w14:textId="77777777" w:rsidR="003D0AD2" w:rsidRPr="003D0AD2" w:rsidRDefault="003D0AD2" w:rsidP="00BC6DAD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Mezinárodní úmluva</w:t>
            </w:r>
            <w:r w:rsidR="00BC6DAD">
              <w:rPr>
                <w:rFonts w:ascii="Calibri" w:hAnsi="Calibri"/>
              </w:rPr>
              <w:t xml:space="preserve"> o </w:t>
            </w:r>
            <w:r>
              <w:rPr>
                <w:rFonts w:ascii="Calibri" w:hAnsi="Calibri"/>
              </w:rPr>
              <w:t>ochraně práv všech migrujících pracovníků</w:t>
            </w:r>
            <w:r w:rsidR="00BC6DAD">
              <w:rPr>
                <w:rFonts w:ascii="Calibri" w:hAnsi="Calibri"/>
              </w:rPr>
              <w:t xml:space="preserve"> a </w:t>
            </w:r>
            <w:r>
              <w:rPr>
                <w:rFonts w:ascii="Calibri" w:hAnsi="Calibri"/>
              </w:rPr>
              <w:t>členů jejich rodin (1990)</w:t>
            </w:r>
            <w:r w:rsidR="00A53648">
              <w:rPr>
                <w:rFonts w:ascii="Calibri" w:hAnsi="Calibri"/>
              </w:rPr>
              <w:t>,</w:t>
            </w:r>
          </w:p>
          <w:p w14:paraId="2F87344F" w14:textId="77777777" w:rsidR="003D0AD2" w:rsidRPr="003D0AD2" w:rsidRDefault="003D0AD2" w:rsidP="00BC6DAD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Úmluva</w:t>
            </w:r>
            <w:r w:rsidR="00BC6DAD">
              <w:rPr>
                <w:rFonts w:ascii="Calibri" w:hAnsi="Calibri"/>
              </w:rPr>
              <w:t xml:space="preserve"> o </w:t>
            </w:r>
            <w:r>
              <w:rPr>
                <w:rFonts w:ascii="Calibri" w:hAnsi="Calibri"/>
              </w:rPr>
              <w:t>právech osob se zdravotním postižením (2006)</w:t>
            </w:r>
            <w:r w:rsidR="00A53648">
              <w:rPr>
                <w:rFonts w:ascii="Calibri" w:hAnsi="Calibri"/>
              </w:rPr>
              <w:t>.</w:t>
            </w:r>
          </w:p>
          <w:p w14:paraId="70EE980F" w14:textId="77777777" w:rsidR="003D0AD2" w:rsidRPr="003D0AD2" w:rsidRDefault="003D0AD2" w:rsidP="00BC6DAD">
            <w:pPr>
              <w:jc w:val="both"/>
              <w:rPr>
                <w:rFonts w:ascii="Calibri" w:hAnsi="Calibri" w:cs="Calibri"/>
                <w:lang w:val="en-US"/>
              </w:rPr>
            </w:pPr>
          </w:p>
          <w:p w14:paraId="0C4C5DBB" w14:textId="77777777" w:rsidR="00D4054E" w:rsidRDefault="003D0AD2" w:rsidP="00BC6DAD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Právo na vzdělání je uznáno</w:t>
            </w:r>
            <w:r w:rsidR="00BC6DAD">
              <w:rPr>
                <w:rFonts w:ascii="Calibri" w:hAnsi="Calibri"/>
              </w:rPr>
              <w:t xml:space="preserve"> v </w:t>
            </w:r>
            <w:r>
              <w:rPr>
                <w:rFonts w:ascii="Calibri" w:hAnsi="Calibri"/>
              </w:rPr>
              <w:t>úmluvách Mezinárodní organizace práce</w:t>
            </w:r>
            <w:r w:rsidR="00BC6DAD">
              <w:rPr>
                <w:rFonts w:ascii="Calibri" w:hAnsi="Calibri"/>
              </w:rPr>
              <w:t xml:space="preserve"> a </w:t>
            </w:r>
            <w:r>
              <w:rPr>
                <w:rFonts w:ascii="Calibri" w:hAnsi="Calibri"/>
              </w:rPr>
              <w:t>v mezinárodním humanitárním právu</w:t>
            </w:r>
            <w:r w:rsidR="00BC6DAD">
              <w:rPr>
                <w:rFonts w:ascii="Calibri" w:hAnsi="Calibri"/>
              </w:rPr>
              <w:t xml:space="preserve"> i </w:t>
            </w:r>
            <w:r>
              <w:rPr>
                <w:rFonts w:ascii="Calibri" w:hAnsi="Calibri"/>
              </w:rPr>
              <w:t>v regionálních úmluvách.</w:t>
            </w:r>
          </w:p>
          <w:p w14:paraId="68B48029" w14:textId="77777777" w:rsidR="003D0AD2" w:rsidRDefault="003D0AD2" w:rsidP="00BC6DAD">
            <w:pPr>
              <w:jc w:val="both"/>
              <w:rPr>
                <w:rFonts w:ascii="Calibri" w:hAnsi="Calibri" w:cs="Calibri"/>
                <w:lang w:val="en-US"/>
              </w:rPr>
            </w:pPr>
          </w:p>
          <w:p w14:paraId="6FA58BB2" w14:textId="77777777" w:rsidR="008E3D3E" w:rsidRPr="00470C01" w:rsidRDefault="008E3D3E" w:rsidP="00BC6DAD">
            <w:pPr>
              <w:jc w:val="both"/>
              <w:rPr>
                <w:rFonts w:ascii="Calibri" w:hAnsi="Calibri" w:cs="Calibri"/>
                <w:i/>
                <w:iCs/>
                <w:lang w:val="en-US"/>
              </w:rPr>
            </w:pPr>
          </w:p>
        </w:tc>
      </w:tr>
      <w:tr w:rsidR="00664DF4" w:rsidRPr="00470C01" w14:paraId="4EF4A839" w14:textId="77777777" w:rsidTr="00CD2B58">
        <w:tc>
          <w:tcPr>
            <w:tcW w:w="8494" w:type="dxa"/>
          </w:tcPr>
          <w:p w14:paraId="6D2F69A4" w14:textId="77777777" w:rsidR="00664DF4" w:rsidRPr="00470C01" w:rsidRDefault="00664DF4" w:rsidP="00BC6DAD">
            <w:pPr>
              <w:jc w:val="both"/>
              <w:rPr>
                <w:b/>
                <w:bCs/>
                <w:color w:val="000000" w:themeColor="text1"/>
              </w:rPr>
            </w:pPr>
            <w:r>
              <w:rPr>
                <w:b/>
                <w:color w:val="000000" w:themeColor="text1"/>
              </w:rPr>
              <w:t>Další zdroje</w:t>
            </w:r>
          </w:p>
        </w:tc>
      </w:tr>
      <w:tr w:rsidR="00664DF4" w:rsidRPr="00470C01" w14:paraId="1550B2BC" w14:textId="77777777" w:rsidTr="00CD2B58">
        <w:tc>
          <w:tcPr>
            <w:tcW w:w="8494" w:type="dxa"/>
          </w:tcPr>
          <w:p w14:paraId="1AE65F10" w14:textId="77777777" w:rsidR="00DB15BF" w:rsidRDefault="00A53648" w:rsidP="00BC6DAD">
            <w:pPr>
              <w:pStyle w:val="Odstavecseseznamem"/>
              <w:numPr>
                <w:ilvl w:val="0"/>
                <w:numId w:val="3"/>
              </w:numPr>
              <w:jc w:val="both"/>
              <w:rPr>
                <w:iCs/>
                <w:color w:val="000000" w:themeColor="text1"/>
              </w:rPr>
            </w:pPr>
            <w:r>
              <w:rPr>
                <w:color w:val="000000" w:themeColor="text1"/>
              </w:rPr>
              <w:t xml:space="preserve">Sandra </w:t>
            </w:r>
            <w:proofErr w:type="spellStart"/>
            <w:r>
              <w:rPr>
                <w:color w:val="000000" w:themeColor="text1"/>
              </w:rPr>
              <w:t>Fredman</w:t>
            </w:r>
            <w:proofErr w:type="spellEnd"/>
            <w:r>
              <w:rPr>
                <w:color w:val="000000" w:themeColor="text1"/>
              </w:rPr>
              <w:t>:</w:t>
            </w:r>
            <w:r w:rsidR="00DB15BF">
              <w:rPr>
                <w:color w:val="000000" w:themeColor="text1"/>
              </w:rPr>
              <w:t xml:space="preserve"> </w:t>
            </w:r>
            <w:proofErr w:type="spellStart"/>
            <w:r w:rsidR="00DB15BF">
              <w:rPr>
                <w:color w:val="000000" w:themeColor="text1"/>
              </w:rPr>
              <w:t>The</w:t>
            </w:r>
            <w:proofErr w:type="spellEnd"/>
            <w:r w:rsidR="00DB15BF">
              <w:rPr>
                <w:color w:val="000000" w:themeColor="text1"/>
              </w:rPr>
              <w:t xml:space="preserve"> </w:t>
            </w:r>
            <w:proofErr w:type="spellStart"/>
            <w:r w:rsidR="00DB15BF">
              <w:rPr>
                <w:color w:val="000000" w:themeColor="text1"/>
              </w:rPr>
              <w:t>Right</w:t>
            </w:r>
            <w:proofErr w:type="spellEnd"/>
            <w:r w:rsidR="00DB15BF">
              <w:rPr>
                <w:color w:val="000000" w:themeColor="text1"/>
              </w:rPr>
              <w:t xml:space="preserve"> to </w:t>
            </w:r>
            <w:proofErr w:type="spellStart"/>
            <w:r w:rsidR="00DB15BF">
              <w:rPr>
                <w:color w:val="000000" w:themeColor="text1"/>
              </w:rPr>
              <w:t>Education</w:t>
            </w:r>
            <w:proofErr w:type="spellEnd"/>
            <w:r w:rsidR="00DB15BF">
              <w:rPr>
                <w:color w:val="000000" w:themeColor="text1"/>
              </w:rPr>
              <w:t xml:space="preserve"> (</w:t>
            </w:r>
            <w:r w:rsidR="00DB15BF">
              <w:rPr>
                <w:i/>
                <w:iCs/>
                <w:color w:val="000000" w:themeColor="text1"/>
              </w:rPr>
              <w:t>Právo na vzdělání</w:t>
            </w:r>
            <w:r w:rsidR="00DB15BF">
              <w:rPr>
                <w:color w:val="000000" w:themeColor="text1"/>
              </w:rPr>
              <w:t xml:space="preserve">), </w:t>
            </w:r>
            <w:proofErr w:type="spellStart"/>
            <w:r w:rsidR="00DB15BF">
              <w:rPr>
                <w:color w:val="000000" w:themeColor="text1"/>
              </w:rPr>
              <w:t>Comparative</w:t>
            </w:r>
            <w:proofErr w:type="spellEnd"/>
            <w:r w:rsidR="00DB15BF">
              <w:rPr>
                <w:color w:val="000000" w:themeColor="text1"/>
              </w:rPr>
              <w:t xml:space="preserve"> </w:t>
            </w:r>
            <w:proofErr w:type="spellStart"/>
            <w:r w:rsidR="00DB15BF">
              <w:rPr>
                <w:color w:val="000000" w:themeColor="text1"/>
              </w:rPr>
              <w:t>Human</w:t>
            </w:r>
            <w:proofErr w:type="spellEnd"/>
            <w:r w:rsidR="00DB15BF">
              <w:rPr>
                <w:color w:val="000000" w:themeColor="text1"/>
              </w:rPr>
              <w:t xml:space="preserve"> </w:t>
            </w:r>
            <w:proofErr w:type="spellStart"/>
            <w:r w:rsidR="00DB15BF">
              <w:rPr>
                <w:color w:val="000000" w:themeColor="text1"/>
              </w:rPr>
              <w:t>Rights</w:t>
            </w:r>
            <w:proofErr w:type="spellEnd"/>
            <w:r w:rsidR="00DB15BF">
              <w:rPr>
                <w:color w:val="000000" w:themeColor="text1"/>
              </w:rPr>
              <w:t xml:space="preserve"> </w:t>
            </w:r>
            <w:proofErr w:type="spellStart"/>
            <w:r w:rsidR="00DB15BF">
              <w:rPr>
                <w:color w:val="000000" w:themeColor="text1"/>
              </w:rPr>
              <w:t>Law</w:t>
            </w:r>
            <w:proofErr w:type="spellEnd"/>
            <w:r w:rsidR="00DB15BF">
              <w:rPr>
                <w:color w:val="000000" w:themeColor="text1"/>
              </w:rPr>
              <w:t xml:space="preserve"> Oxford, 2018</w:t>
            </w:r>
            <w:r>
              <w:rPr>
                <w:color w:val="000000" w:themeColor="text1"/>
              </w:rPr>
              <w:t>.</w:t>
            </w:r>
          </w:p>
          <w:p w14:paraId="12D99FD0" w14:textId="77777777" w:rsidR="00DB15BF" w:rsidRDefault="00DB15BF" w:rsidP="00BC6DAD">
            <w:pPr>
              <w:pStyle w:val="Odstavecseseznamem"/>
              <w:numPr>
                <w:ilvl w:val="0"/>
                <w:numId w:val="3"/>
              </w:numPr>
              <w:jc w:val="both"/>
              <w:rPr>
                <w:iCs/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Gauthier</w:t>
            </w:r>
            <w:proofErr w:type="spellEnd"/>
            <w:r>
              <w:rPr>
                <w:color w:val="000000" w:themeColor="text1"/>
              </w:rPr>
              <w:t xml:space="preserve"> de </w:t>
            </w:r>
            <w:proofErr w:type="spellStart"/>
            <w:r>
              <w:rPr>
                <w:color w:val="000000" w:themeColor="text1"/>
              </w:rPr>
              <w:t>Beco</w:t>
            </w:r>
            <w:proofErr w:type="spellEnd"/>
            <w:r>
              <w:rPr>
                <w:color w:val="000000" w:themeColor="text1"/>
              </w:rPr>
              <w:t xml:space="preserve">, </w:t>
            </w:r>
            <w:proofErr w:type="spellStart"/>
            <w:r>
              <w:rPr>
                <w:color w:val="000000" w:themeColor="text1"/>
              </w:rPr>
              <w:t>Shivaun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Quinlivan</w:t>
            </w:r>
            <w:proofErr w:type="spellEnd"/>
            <w:r w:rsidR="00BC6DAD">
              <w:rPr>
                <w:color w:val="000000" w:themeColor="text1"/>
              </w:rPr>
              <w:t xml:space="preserve"> a </w:t>
            </w:r>
            <w:r>
              <w:rPr>
                <w:color w:val="000000" w:themeColor="text1"/>
              </w:rPr>
              <w:t xml:space="preserve">další: </w:t>
            </w:r>
            <w:proofErr w:type="spellStart"/>
            <w:r>
              <w:rPr>
                <w:color w:val="000000" w:themeColor="text1"/>
              </w:rPr>
              <w:t>The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Right</w:t>
            </w:r>
            <w:proofErr w:type="spellEnd"/>
            <w:r>
              <w:rPr>
                <w:color w:val="000000" w:themeColor="text1"/>
              </w:rPr>
              <w:t xml:space="preserve"> to </w:t>
            </w:r>
            <w:proofErr w:type="spellStart"/>
            <w:r>
              <w:rPr>
                <w:color w:val="000000" w:themeColor="text1"/>
              </w:rPr>
              <w:t>Inclusive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Education</w:t>
            </w:r>
            <w:proofErr w:type="spellEnd"/>
            <w:r>
              <w:rPr>
                <w:color w:val="000000" w:themeColor="text1"/>
              </w:rPr>
              <w:t xml:space="preserve"> in International </w:t>
            </w:r>
            <w:proofErr w:type="spellStart"/>
            <w:r>
              <w:rPr>
                <w:color w:val="000000" w:themeColor="text1"/>
              </w:rPr>
              <w:t>Human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Rights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Law</w:t>
            </w:r>
            <w:proofErr w:type="spellEnd"/>
            <w:r>
              <w:rPr>
                <w:color w:val="000000" w:themeColor="text1"/>
              </w:rPr>
              <w:t xml:space="preserve"> (</w:t>
            </w:r>
            <w:r>
              <w:rPr>
                <w:i/>
                <w:iCs/>
                <w:color w:val="000000" w:themeColor="text1"/>
              </w:rPr>
              <w:t>Právo na inkluzivní vzdělání</w:t>
            </w:r>
            <w:r w:rsidR="00BC6DAD">
              <w:rPr>
                <w:i/>
                <w:iCs/>
                <w:color w:val="000000" w:themeColor="text1"/>
              </w:rPr>
              <w:t xml:space="preserve"> v </w:t>
            </w:r>
            <w:r>
              <w:rPr>
                <w:i/>
                <w:iCs/>
                <w:color w:val="000000" w:themeColor="text1"/>
              </w:rPr>
              <w:t>mezinárodních lidskoprávních normách</w:t>
            </w:r>
            <w:r>
              <w:rPr>
                <w:color w:val="000000" w:themeColor="text1"/>
              </w:rPr>
              <w:t xml:space="preserve">), Cambridge Disability </w:t>
            </w:r>
            <w:proofErr w:type="spellStart"/>
            <w:r>
              <w:rPr>
                <w:color w:val="000000" w:themeColor="text1"/>
              </w:rPr>
              <w:t>Law</w:t>
            </w:r>
            <w:proofErr w:type="spellEnd"/>
            <w:r>
              <w:rPr>
                <w:color w:val="000000" w:themeColor="text1"/>
              </w:rPr>
              <w:t xml:space="preserve"> and </w:t>
            </w:r>
            <w:proofErr w:type="spellStart"/>
            <w:r>
              <w:rPr>
                <w:color w:val="000000" w:themeColor="text1"/>
              </w:rPr>
              <w:t>Policy</w:t>
            </w:r>
            <w:proofErr w:type="spellEnd"/>
            <w:r>
              <w:rPr>
                <w:color w:val="000000" w:themeColor="text1"/>
              </w:rPr>
              <w:t>, 2019</w:t>
            </w:r>
            <w:r w:rsidR="00A53648">
              <w:rPr>
                <w:color w:val="000000" w:themeColor="text1"/>
              </w:rPr>
              <w:t>.</w:t>
            </w:r>
          </w:p>
          <w:p w14:paraId="41D4AE7A" w14:textId="38EDFEA1" w:rsidR="00083BE2" w:rsidRPr="00083BE2" w:rsidRDefault="00083BE2" w:rsidP="00BC6DAD">
            <w:pPr>
              <w:pStyle w:val="Odstavecseseznamem"/>
              <w:numPr>
                <w:ilvl w:val="0"/>
                <w:numId w:val="3"/>
              </w:numPr>
              <w:jc w:val="both"/>
              <w:rPr>
                <w:iCs/>
                <w:color w:val="000000" w:themeColor="text1"/>
              </w:rPr>
            </w:pPr>
            <w:r>
              <w:rPr>
                <w:color w:val="000000" w:themeColor="text1"/>
              </w:rPr>
              <w:t xml:space="preserve">Klaus Dieter </w:t>
            </w:r>
            <w:proofErr w:type="spellStart"/>
            <w:r>
              <w:rPr>
                <w:color w:val="000000" w:themeColor="text1"/>
              </w:rPr>
              <w:t>Beiter</w:t>
            </w:r>
            <w:proofErr w:type="spellEnd"/>
            <w:r>
              <w:rPr>
                <w:color w:val="000000" w:themeColor="text1"/>
              </w:rPr>
              <w:t xml:space="preserve">, </w:t>
            </w:r>
            <w:proofErr w:type="spellStart"/>
            <w:r>
              <w:rPr>
                <w:color w:val="000000" w:themeColor="text1"/>
              </w:rPr>
              <w:t>The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Protection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of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the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Right</w:t>
            </w:r>
            <w:proofErr w:type="spellEnd"/>
            <w:r>
              <w:rPr>
                <w:color w:val="000000" w:themeColor="text1"/>
              </w:rPr>
              <w:t xml:space="preserve"> to </w:t>
            </w:r>
            <w:proofErr w:type="spellStart"/>
            <w:r>
              <w:rPr>
                <w:color w:val="000000" w:themeColor="text1"/>
              </w:rPr>
              <w:t>Education</w:t>
            </w:r>
            <w:proofErr w:type="spellEnd"/>
            <w:r>
              <w:rPr>
                <w:color w:val="000000" w:themeColor="text1"/>
              </w:rPr>
              <w:t xml:space="preserve"> by International </w:t>
            </w:r>
            <w:proofErr w:type="spellStart"/>
            <w:r>
              <w:rPr>
                <w:color w:val="000000" w:themeColor="text1"/>
              </w:rPr>
              <w:t>Law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Including</w:t>
            </w:r>
            <w:proofErr w:type="spellEnd"/>
            <w:r w:rsidR="00BC6DAD">
              <w:rPr>
                <w:color w:val="000000" w:themeColor="text1"/>
              </w:rPr>
              <w:t xml:space="preserve"> a </w:t>
            </w:r>
            <w:proofErr w:type="spellStart"/>
            <w:r>
              <w:rPr>
                <w:color w:val="000000" w:themeColor="text1"/>
              </w:rPr>
              <w:t>Systematic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Analysis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of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Article</w:t>
            </w:r>
            <w:proofErr w:type="spellEnd"/>
            <w:r>
              <w:rPr>
                <w:color w:val="000000" w:themeColor="text1"/>
              </w:rPr>
              <w:t xml:space="preserve"> 13 </w:t>
            </w:r>
            <w:proofErr w:type="spellStart"/>
            <w:r>
              <w:rPr>
                <w:color w:val="000000" w:themeColor="text1"/>
              </w:rPr>
              <w:t>of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the</w:t>
            </w:r>
            <w:proofErr w:type="spellEnd"/>
            <w:r>
              <w:rPr>
                <w:color w:val="000000" w:themeColor="text1"/>
              </w:rPr>
              <w:t xml:space="preserve"> International Covenant on </w:t>
            </w:r>
            <w:proofErr w:type="spellStart"/>
            <w:r>
              <w:rPr>
                <w:color w:val="000000" w:themeColor="text1"/>
              </w:rPr>
              <w:t>Economic</w:t>
            </w:r>
            <w:proofErr w:type="spellEnd"/>
            <w:r>
              <w:rPr>
                <w:color w:val="000000" w:themeColor="text1"/>
              </w:rPr>
              <w:t xml:space="preserve">, </w:t>
            </w:r>
            <w:proofErr w:type="spellStart"/>
            <w:r>
              <w:rPr>
                <w:color w:val="000000" w:themeColor="text1"/>
              </w:rPr>
              <w:t>Social</w:t>
            </w:r>
            <w:proofErr w:type="spellEnd"/>
            <w:r>
              <w:rPr>
                <w:color w:val="000000" w:themeColor="text1"/>
              </w:rPr>
              <w:t xml:space="preserve"> and </w:t>
            </w:r>
            <w:proofErr w:type="spellStart"/>
            <w:r>
              <w:rPr>
                <w:color w:val="000000" w:themeColor="text1"/>
              </w:rPr>
              <w:t>Cultural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Rights</w:t>
            </w:r>
            <w:proofErr w:type="spellEnd"/>
            <w:r>
              <w:rPr>
                <w:color w:val="000000" w:themeColor="text1"/>
              </w:rPr>
              <w:t xml:space="preserve"> (</w:t>
            </w:r>
            <w:r>
              <w:rPr>
                <w:i/>
                <w:iCs/>
                <w:color w:val="000000" w:themeColor="text1"/>
              </w:rPr>
              <w:t>Ochrana práva na vzdělání</w:t>
            </w:r>
            <w:r w:rsidR="00BC6DAD">
              <w:rPr>
                <w:i/>
                <w:iCs/>
                <w:color w:val="000000" w:themeColor="text1"/>
              </w:rPr>
              <w:t xml:space="preserve"> v </w:t>
            </w:r>
            <w:r>
              <w:rPr>
                <w:i/>
                <w:iCs/>
                <w:color w:val="000000" w:themeColor="text1"/>
              </w:rPr>
              <w:t xml:space="preserve">mezinárodním právu včetně systematické analýzy článku 13 Mezinárodního </w:t>
            </w:r>
            <w:r>
              <w:rPr>
                <w:i/>
                <w:iCs/>
                <w:color w:val="000000" w:themeColor="text1"/>
              </w:rPr>
              <w:lastRenderedPageBreak/>
              <w:t>paktu</w:t>
            </w:r>
            <w:r w:rsidR="00BC6DAD">
              <w:rPr>
                <w:i/>
                <w:iCs/>
                <w:color w:val="000000" w:themeColor="text1"/>
              </w:rPr>
              <w:t xml:space="preserve"> o </w:t>
            </w:r>
            <w:r>
              <w:rPr>
                <w:i/>
                <w:iCs/>
                <w:color w:val="000000" w:themeColor="text1"/>
              </w:rPr>
              <w:t>hospodářských, sociálních</w:t>
            </w:r>
            <w:r w:rsidR="00BC6DAD">
              <w:rPr>
                <w:i/>
                <w:iCs/>
                <w:color w:val="000000" w:themeColor="text1"/>
              </w:rPr>
              <w:t xml:space="preserve"> a </w:t>
            </w:r>
            <w:r>
              <w:rPr>
                <w:i/>
                <w:iCs/>
                <w:color w:val="000000" w:themeColor="text1"/>
              </w:rPr>
              <w:t>kulturních právech)</w:t>
            </w:r>
            <w:r>
              <w:rPr>
                <w:color w:val="000000" w:themeColor="text1"/>
              </w:rPr>
              <w:t xml:space="preserve">, </w:t>
            </w:r>
            <w:proofErr w:type="spellStart"/>
            <w:r>
              <w:rPr>
                <w:color w:val="000000" w:themeColor="text1"/>
              </w:rPr>
              <w:t>Series</w:t>
            </w:r>
            <w:proofErr w:type="spellEnd"/>
            <w:r>
              <w:rPr>
                <w:color w:val="000000" w:themeColor="text1"/>
              </w:rPr>
              <w:t xml:space="preserve">: International </w:t>
            </w:r>
            <w:proofErr w:type="spellStart"/>
            <w:r>
              <w:rPr>
                <w:color w:val="000000" w:themeColor="text1"/>
              </w:rPr>
              <w:t>Studies</w:t>
            </w:r>
            <w:proofErr w:type="spellEnd"/>
            <w:r>
              <w:rPr>
                <w:color w:val="000000" w:themeColor="text1"/>
              </w:rPr>
              <w:t xml:space="preserve"> in </w:t>
            </w:r>
            <w:proofErr w:type="spellStart"/>
            <w:r>
              <w:rPr>
                <w:color w:val="000000" w:themeColor="text1"/>
              </w:rPr>
              <w:t>Human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 w:rsidR="00A53648">
              <w:rPr>
                <w:color w:val="000000" w:themeColor="text1"/>
              </w:rPr>
              <w:t>Rights</w:t>
            </w:r>
            <w:proofErr w:type="spellEnd"/>
            <w:r w:rsidR="00A53648">
              <w:rPr>
                <w:color w:val="000000" w:themeColor="text1"/>
              </w:rPr>
              <w:t xml:space="preserve">, </w:t>
            </w:r>
            <w:proofErr w:type="spellStart"/>
            <w:r w:rsidR="00A53648">
              <w:rPr>
                <w:color w:val="000000" w:themeColor="text1"/>
              </w:rPr>
              <w:t>Volume</w:t>
            </w:r>
            <w:proofErr w:type="spellEnd"/>
            <w:r w:rsidR="00A53648">
              <w:rPr>
                <w:color w:val="000000" w:themeColor="text1"/>
              </w:rPr>
              <w:t xml:space="preserve">: 82, </w:t>
            </w:r>
            <w:proofErr w:type="spellStart"/>
            <w:r w:rsidR="00A53648">
              <w:rPr>
                <w:color w:val="000000" w:themeColor="text1"/>
              </w:rPr>
              <w:t>Brill</w:t>
            </w:r>
            <w:proofErr w:type="spellEnd"/>
            <w:r w:rsidR="00A53648">
              <w:rPr>
                <w:color w:val="000000" w:themeColor="text1"/>
              </w:rPr>
              <w:t>, 2006.</w:t>
            </w:r>
          </w:p>
          <w:p w14:paraId="173655D7" w14:textId="77777777" w:rsidR="00DB15BF" w:rsidRPr="00DB15BF" w:rsidRDefault="00083BE2" w:rsidP="00BC6DAD">
            <w:pPr>
              <w:pStyle w:val="Odstavecseseznamem"/>
              <w:numPr>
                <w:ilvl w:val="0"/>
                <w:numId w:val="3"/>
              </w:numPr>
              <w:jc w:val="both"/>
              <w:rPr>
                <w:iCs/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Gerison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Lansdown</w:t>
            </w:r>
            <w:proofErr w:type="spellEnd"/>
            <w:r w:rsidR="00BC6DAD">
              <w:rPr>
                <w:color w:val="000000" w:themeColor="text1"/>
              </w:rPr>
              <w:t xml:space="preserve"> a </w:t>
            </w:r>
            <w:proofErr w:type="spellStart"/>
            <w:r>
              <w:rPr>
                <w:color w:val="000000" w:themeColor="text1"/>
              </w:rPr>
              <w:t>Zibha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Vaghri</w:t>
            </w:r>
            <w:proofErr w:type="spellEnd"/>
            <w:r>
              <w:rPr>
                <w:color w:val="000000" w:themeColor="text1"/>
              </w:rPr>
              <w:t xml:space="preserve">: </w:t>
            </w:r>
            <w:proofErr w:type="spellStart"/>
            <w:r>
              <w:rPr>
                <w:color w:val="000000" w:themeColor="text1"/>
              </w:rPr>
              <w:t>Article</w:t>
            </w:r>
            <w:proofErr w:type="spellEnd"/>
            <w:r>
              <w:rPr>
                <w:color w:val="000000" w:themeColor="text1"/>
              </w:rPr>
              <w:t xml:space="preserve"> 28: </w:t>
            </w:r>
            <w:proofErr w:type="spellStart"/>
            <w:r>
              <w:rPr>
                <w:color w:val="000000" w:themeColor="text1"/>
              </w:rPr>
              <w:t>The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Right</w:t>
            </w:r>
            <w:proofErr w:type="spellEnd"/>
            <w:r>
              <w:rPr>
                <w:color w:val="000000" w:themeColor="text1"/>
              </w:rPr>
              <w:t xml:space="preserve"> to </w:t>
            </w:r>
            <w:proofErr w:type="spellStart"/>
            <w:r>
              <w:rPr>
                <w:color w:val="000000" w:themeColor="text1"/>
              </w:rPr>
              <w:t>Education</w:t>
            </w:r>
            <w:proofErr w:type="spellEnd"/>
            <w:r>
              <w:rPr>
                <w:color w:val="000000" w:themeColor="text1"/>
              </w:rPr>
              <w:t>. (</w:t>
            </w:r>
            <w:r>
              <w:rPr>
                <w:i/>
                <w:iCs/>
                <w:color w:val="000000" w:themeColor="text1"/>
              </w:rPr>
              <w:t>Článek 28:</w:t>
            </w:r>
            <w:r>
              <w:rPr>
                <w:color w:val="000000" w:themeColor="text1"/>
              </w:rPr>
              <w:t xml:space="preserve"> </w:t>
            </w:r>
            <w:r>
              <w:rPr>
                <w:i/>
                <w:iCs/>
                <w:color w:val="000000" w:themeColor="text1"/>
              </w:rPr>
              <w:t>Právo na vzdělání</w:t>
            </w:r>
            <w:r>
              <w:rPr>
                <w:color w:val="000000" w:themeColor="text1"/>
              </w:rPr>
              <w:t xml:space="preserve">) In: </w:t>
            </w:r>
            <w:proofErr w:type="spellStart"/>
            <w:r>
              <w:rPr>
                <w:color w:val="000000" w:themeColor="text1"/>
              </w:rPr>
              <w:t>Vaghri</w:t>
            </w:r>
            <w:proofErr w:type="spellEnd"/>
            <w:r>
              <w:rPr>
                <w:color w:val="000000" w:themeColor="text1"/>
              </w:rPr>
              <w:t xml:space="preserve">, Z., </w:t>
            </w:r>
            <w:proofErr w:type="spellStart"/>
            <w:r>
              <w:rPr>
                <w:color w:val="000000" w:themeColor="text1"/>
              </w:rPr>
              <w:t>Zermatten</w:t>
            </w:r>
            <w:proofErr w:type="spellEnd"/>
            <w:r>
              <w:rPr>
                <w:color w:val="000000" w:themeColor="text1"/>
              </w:rPr>
              <w:t xml:space="preserve">, J., </w:t>
            </w:r>
            <w:proofErr w:type="spellStart"/>
            <w:r>
              <w:rPr>
                <w:color w:val="000000" w:themeColor="text1"/>
              </w:rPr>
              <w:t>Lansdown</w:t>
            </w:r>
            <w:proofErr w:type="spellEnd"/>
            <w:r>
              <w:rPr>
                <w:color w:val="000000" w:themeColor="text1"/>
              </w:rPr>
              <w:t xml:space="preserve">, G., </w:t>
            </w:r>
            <w:proofErr w:type="spellStart"/>
            <w:r>
              <w:rPr>
                <w:color w:val="000000" w:themeColor="text1"/>
              </w:rPr>
              <w:t>Ruggiero</w:t>
            </w:r>
            <w:proofErr w:type="spellEnd"/>
            <w:r>
              <w:rPr>
                <w:color w:val="000000" w:themeColor="text1"/>
              </w:rPr>
              <w:t>, R. (</w:t>
            </w:r>
            <w:proofErr w:type="spellStart"/>
            <w:r>
              <w:rPr>
                <w:color w:val="000000" w:themeColor="text1"/>
              </w:rPr>
              <w:t>eds</w:t>
            </w:r>
            <w:proofErr w:type="spellEnd"/>
            <w:r>
              <w:rPr>
                <w:color w:val="000000" w:themeColor="text1"/>
              </w:rPr>
              <w:t xml:space="preserve">) Monitoring </w:t>
            </w:r>
            <w:proofErr w:type="spellStart"/>
            <w:r>
              <w:rPr>
                <w:color w:val="000000" w:themeColor="text1"/>
              </w:rPr>
              <w:t>State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Compliance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with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the</w:t>
            </w:r>
            <w:proofErr w:type="spellEnd"/>
            <w:r>
              <w:rPr>
                <w:color w:val="000000" w:themeColor="text1"/>
              </w:rPr>
              <w:t xml:space="preserve"> UN </w:t>
            </w:r>
            <w:proofErr w:type="spellStart"/>
            <w:r>
              <w:rPr>
                <w:color w:val="000000" w:themeColor="text1"/>
              </w:rPr>
              <w:t>Convention</w:t>
            </w:r>
            <w:proofErr w:type="spellEnd"/>
            <w:r>
              <w:rPr>
                <w:color w:val="000000" w:themeColor="text1"/>
              </w:rPr>
              <w:t xml:space="preserve"> on </w:t>
            </w:r>
            <w:proofErr w:type="spellStart"/>
            <w:r>
              <w:rPr>
                <w:color w:val="000000" w:themeColor="text1"/>
              </w:rPr>
              <w:t>the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Rights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of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the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Child</w:t>
            </w:r>
            <w:proofErr w:type="spellEnd"/>
            <w:r>
              <w:rPr>
                <w:color w:val="000000" w:themeColor="text1"/>
              </w:rPr>
              <w:t>. (</w:t>
            </w:r>
            <w:r>
              <w:rPr>
                <w:i/>
                <w:iCs/>
                <w:color w:val="000000" w:themeColor="text1"/>
              </w:rPr>
              <w:t>Monitoring dodržování Úmluvy OSN</w:t>
            </w:r>
            <w:r w:rsidR="00BC6DAD">
              <w:rPr>
                <w:i/>
                <w:iCs/>
                <w:color w:val="000000" w:themeColor="text1"/>
              </w:rPr>
              <w:t xml:space="preserve"> o </w:t>
            </w:r>
            <w:r>
              <w:rPr>
                <w:i/>
                <w:iCs/>
                <w:color w:val="000000" w:themeColor="text1"/>
              </w:rPr>
              <w:t>právech dítěte státem.</w:t>
            </w:r>
            <w:r>
              <w:rPr>
                <w:color w:val="000000" w:themeColor="text1"/>
              </w:rPr>
              <w:t xml:space="preserve">) </w:t>
            </w:r>
            <w:proofErr w:type="spellStart"/>
            <w:r>
              <w:rPr>
                <w:color w:val="000000" w:themeColor="text1"/>
              </w:rPr>
              <w:t>Children’s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Well-Being</w:t>
            </w:r>
            <w:proofErr w:type="spellEnd"/>
            <w:r>
              <w:rPr>
                <w:color w:val="000000" w:themeColor="text1"/>
              </w:rPr>
              <w:t xml:space="preserve">: </w:t>
            </w:r>
            <w:proofErr w:type="spellStart"/>
            <w:r>
              <w:rPr>
                <w:color w:val="000000" w:themeColor="text1"/>
              </w:rPr>
              <w:t>Indicators</w:t>
            </w:r>
            <w:proofErr w:type="spellEnd"/>
            <w:r>
              <w:rPr>
                <w:color w:val="000000" w:themeColor="text1"/>
              </w:rPr>
              <w:t xml:space="preserve"> and </w:t>
            </w:r>
            <w:proofErr w:type="spellStart"/>
            <w:r>
              <w:rPr>
                <w:color w:val="000000" w:themeColor="text1"/>
              </w:rPr>
              <w:t>Research</w:t>
            </w:r>
            <w:proofErr w:type="spellEnd"/>
            <w:r>
              <w:rPr>
                <w:color w:val="000000" w:themeColor="text1"/>
              </w:rPr>
              <w:t xml:space="preserve">, vol 25. </w:t>
            </w:r>
            <w:proofErr w:type="spellStart"/>
            <w:r>
              <w:rPr>
                <w:color w:val="000000" w:themeColor="text1"/>
              </w:rPr>
              <w:t>Springer</w:t>
            </w:r>
            <w:proofErr w:type="spellEnd"/>
            <w:r>
              <w:rPr>
                <w:color w:val="000000" w:themeColor="text1"/>
              </w:rPr>
              <w:t>, 2022</w:t>
            </w:r>
            <w:r w:rsidR="00A53648">
              <w:rPr>
                <w:color w:val="000000" w:themeColor="text1"/>
              </w:rPr>
              <w:t>.</w:t>
            </w:r>
          </w:p>
          <w:p w14:paraId="1A87D294" w14:textId="77777777" w:rsidR="00083BE2" w:rsidRDefault="00083BE2" w:rsidP="00BC6DAD">
            <w:pPr>
              <w:pStyle w:val="Odstavecseseznamem"/>
              <w:numPr>
                <w:ilvl w:val="0"/>
                <w:numId w:val="3"/>
              </w:numPr>
              <w:jc w:val="both"/>
              <w:rPr>
                <w:iCs/>
                <w:color w:val="000000" w:themeColor="text1"/>
              </w:rPr>
            </w:pPr>
            <w:r>
              <w:rPr>
                <w:color w:val="000000" w:themeColor="text1"/>
              </w:rPr>
              <w:t xml:space="preserve">Joel </w:t>
            </w:r>
            <w:proofErr w:type="spellStart"/>
            <w:r>
              <w:rPr>
                <w:color w:val="000000" w:themeColor="text1"/>
              </w:rPr>
              <w:t>Spring</w:t>
            </w:r>
            <w:proofErr w:type="spellEnd"/>
            <w:r>
              <w:rPr>
                <w:color w:val="000000" w:themeColor="text1"/>
              </w:rPr>
              <w:t xml:space="preserve">: </w:t>
            </w:r>
            <w:proofErr w:type="spellStart"/>
            <w:r>
              <w:rPr>
                <w:color w:val="000000" w:themeColor="text1"/>
              </w:rPr>
              <w:t>The</w:t>
            </w:r>
            <w:proofErr w:type="spellEnd"/>
            <w:r>
              <w:rPr>
                <w:color w:val="000000" w:themeColor="text1"/>
              </w:rPr>
              <w:t xml:space="preserve"> Universal </w:t>
            </w:r>
            <w:proofErr w:type="spellStart"/>
            <w:r>
              <w:rPr>
                <w:color w:val="000000" w:themeColor="text1"/>
              </w:rPr>
              <w:t>Right</w:t>
            </w:r>
            <w:proofErr w:type="spellEnd"/>
            <w:r>
              <w:rPr>
                <w:color w:val="000000" w:themeColor="text1"/>
              </w:rPr>
              <w:t xml:space="preserve"> to </w:t>
            </w:r>
            <w:proofErr w:type="spellStart"/>
            <w:r>
              <w:rPr>
                <w:color w:val="000000" w:themeColor="text1"/>
              </w:rPr>
              <w:t>Education</w:t>
            </w:r>
            <w:proofErr w:type="spellEnd"/>
            <w:r>
              <w:rPr>
                <w:color w:val="000000" w:themeColor="text1"/>
              </w:rPr>
              <w:t>. (</w:t>
            </w:r>
            <w:r>
              <w:rPr>
                <w:i/>
                <w:iCs/>
                <w:color w:val="000000" w:themeColor="text1"/>
              </w:rPr>
              <w:t>Univerzální právo na vzdělání</w:t>
            </w:r>
            <w:r>
              <w:rPr>
                <w:color w:val="000000" w:themeColor="text1"/>
              </w:rPr>
              <w:t xml:space="preserve">) </w:t>
            </w:r>
            <w:proofErr w:type="spellStart"/>
            <w:r>
              <w:rPr>
                <w:color w:val="000000" w:themeColor="text1"/>
              </w:rPr>
              <w:t>Justification</w:t>
            </w:r>
            <w:proofErr w:type="spellEnd"/>
            <w:r>
              <w:rPr>
                <w:color w:val="000000" w:themeColor="text1"/>
              </w:rPr>
              <w:t xml:space="preserve">, </w:t>
            </w:r>
            <w:proofErr w:type="spellStart"/>
            <w:r>
              <w:rPr>
                <w:color w:val="000000" w:themeColor="text1"/>
              </w:rPr>
              <w:t>Definition</w:t>
            </w:r>
            <w:proofErr w:type="spellEnd"/>
            <w:r>
              <w:rPr>
                <w:color w:val="000000" w:themeColor="text1"/>
              </w:rPr>
              <w:t xml:space="preserve">, and </w:t>
            </w:r>
            <w:proofErr w:type="spellStart"/>
            <w:r>
              <w:rPr>
                <w:color w:val="000000" w:themeColor="text1"/>
              </w:rPr>
              <w:t>Guidelines</w:t>
            </w:r>
            <w:proofErr w:type="spellEnd"/>
            <w:r>
              <w:rPr>
                <w:color w:val="000000" w:themeColor="text1"/>
              </w:rPr>
              <w:t xml:space="preserve">, </w:t>
            </w:r>
            <w:proofErr w:type="spellStart"/>
            <w:r>
              <w:rPr>
                <w:color w:val="000000" w:themeColor="text1"/>
              </w:rPr>
              <w:t>Routledge</w:t>
            </w:r>
            <w:proofErr w:type="spellEnd"/>
            <w:r>
              <w:rPr>
                <w:color w:val="000000" w:themeColor="text1"/>
              </w:rPr>
              <w:t>, 2000</w:t>
            </w:r>
            <w:r w:rsidR="00A53648">
              <w:rPr>
                <w:color w:val="000000" w:themeColor="text1"/>
              </w:rPr>
              <w:t>.</w:t>
            </w:r>
          </w:p>
          <w:p w14:paraId="67A63774" w14:textId="77777777" w:rsidR="00083BE2" w:rsidRPr="00083BE2" w:rsidRDefault="00083BE2" w:rsidP="00BC6DAD">
            <w:pPr>
              <w:pStyle w:val="Odstavecseseznamem"/>
              <w:jc w:val="both"/>
              <w:rPr>
                <w:iCs/>
                <w:color w:val="000000" w:themeColor="text1"/>
                <w:lang w:val="en-US"/>
              </w:rPr>
            </w:pPr>
          </w:p>
          <w:p w14:paraId="6EAA461D" w14:textId="77777777" w:rsidR="00664DF4" w:rsidRPr="00083BE2" w:rsidRDefault="00664DF4" w:rsidP="00BC6DAD">
            <w:pPr>
              <w:ind w:left="360"/>
              <w:jc w:val="both"/>
              <w:rPr>
                <w:i/>
                <w:iCs/>
                <w:color w:val="000000" w:themeColor="text1"/>
                <w:lang w:val="en-US"/>
              </w:rPr>
            </w:pPr>
          </w:p>
        </w:tc>
      </w:tr>
    </w:tbl>
    <w:p w14:paraId="53E594DC" w14:textId="77777777" w:rsidR="00B6626F" w:rsidRDefault="00B6626F"/>
    <w:sectPr w:rsidR="00B6626F" w:rsidSect="00CC29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337E6" w14:textId="77777777" w:rsidR="005E44A7" w:rsidRDefault="005E44A7" w:rsidP="000067E8">
      <w:r>
        <w:separator/>
      </w:r>
    </w:p>
  </w:endnote>
  <w:endnote w:type="continuationSeparator" w:id="0">
    <w:p w14:paraId="4C91EFB7" w14:textId="77777777" w:rsidR="005E44A7" w:rsidRDefault="005E44A7" w:rsidP="00006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91F05" w14:textId="77777777" w:rsidR="005E44A7" w:rsidRDefault="005E44A7" w:rsidP="000067E8">
      <w:r>
        <w:separator/>
      </w:r>
    </w:p>
  </w:footnote>
  <w:footnote w:type="continuationSeparator" w:id="0">
    <w:p w14:paraId="2F9CC7BC" w14:textId="77777777" w:rsidR="005E44A7" w:rsidRDefault="005E44A7" w:rsidP="000067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330F2"/>
    <w:multiLevelType w:val="hybridMultilevel"/>
    <w:tmpl w:val="0C38201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E8303C"/>
    <w:multiLevelType w:val="hybridMultilevel"/>
    <w:tmpl w:val="54DAB50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A41F38"/>
    <w:multiLevelType w:val="hybridMultilevel"/>
    <w:tmpl w:val="7D14CEB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DF0256"/>
    <w:multiLevelType w:val="hybridMultilevel"/>
    <w:tmpl w:val="44BC6A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680180">
    <w:abstractNumId w:val="3"/>
  </w:num>
  <w:num w:numId="2" w16cid:durableId="1861666">
    <w:abstractNumId w:val="1"/>
  </w:num>
  <w:num w:numId="3" w16cid:durableId="308747152">
    <w:abstractNumId w:val="2"/>
  </w:num>
  <w:num w:numId="4" w16cid:durableId="296490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cs-CZ" w:vendorID="64" w:dllVersion="4096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626F"/>
    <w:rsid w:val="000067E8"/>
    <w:rsid w:val="00083BE2"/>
    <w:rsid w:val="00130F17"/>
    <w:rsid w:val="00164E28"/>
    <w:rsid w:val="00245C92"/>
    <w:rsid w:val="00280324"/>
    <w:rsid w:val="003A0115"/>
    <w:rsid w:val="003A3389"/>
    <w:rsid w:val="003A5F4A"/>
    <w:rsid w:val="003D0AD2"/>
    <w:rsid w:val="004623AC"/>
    <w:rsid w:val="004716E8"/>
    <w:rsid w:val="00491B1A"/>
    <w:rsid w:val="00556E79"/>
    <w:rsid w:val="005A735D"/>
    <w:rsid w:val="005B771F"/>
    <w:rsid w:val="005E44A7"/>
    <w:rsid w:val="005E5EF0"/>
    <w:rsid w:val="005E7438"/>
    <w:rsid w:val="0062393D"/>
    <w:rsid w:val="00664DF4"/>
    <w:rsid w:val="006C1402"/>
    <w:rsid w:val="007717DA"/>
    <w:rsid w:val="00811E07"/>
    <w:rsid w:val="00885888"/>
    <w:rsid w:val="008D58CA"/>
    <w:rsid w:val="008E3D3E"/>
    <w:rsid w:val="0091370A"/>
    <w:rsid w:val="00971171"/>
    <w:rsid w:val="00995821"/>
    <w:rsid w:val="00A53648"/>
    <w:rsid w:val="00AA733C"/>
    <w:rsid w:val="00AB4EF1"/>
    <w:rsid w:val="00AD2172"/>
    <w:rsid w:val="00B6626F"/>
    <w:rsid w:val="00B86AAA"/>
    <w:rsid w:val="00BA2124"/>
    <w:rsid w:val="00BC3FCB"/>
    <w:rsid w:val="00BC6DAD"/>
    <w:rsid w:val="00CC2987"/>
    <w:rsid w:val="00D306E2"/>
    <w:rsid w:val="00D4054E"/>
    <w:rsid w:val="00D55D0F"/>
    <w:rsid w:val="00DA4105"/>
    <w:rsid w:val="00DB12BC"/>
    <w:rsid w:val="00DB15BF"/>
    <w:rsid w:val="00DF3DE1"/>
    <w:rsid w:val="00E1047A"/>
    <w:rsid w:val="00E471DF"/>
    <w:rsid w:val="00E73F62"/>
    <w:rsid w:val="00ED5B61"/>
    <w:rsid w:val="00F2715F"/>
    <w:rsid w:val="00F678F5"/>
    <w:rsid w:val="00F91A58"/>
    <w:rsid w:val="00FA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D2AF5AA"/>
  <w15:docId w15:val="{2334E4E3-2E8F-479C-80E9-2E1A55711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4DF4"/>
    <w:pPr>
      <w:spacing w:after="0" w:line="240" w:lineRule="auto"/>
    </w:pPr>
    <w:rPr>
      <w:kern w:val="2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664DF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ES_tradnl"/>
    </w:rPr>
  </w:style>
  <w:style w:type="table" w:styleId="Mkatabulky">
    <w:name w:val="Table Grid"/>
    <w:basedOn w:val="Normlntabulka"/>
    <w:uiPriority w:val="39"/>
    <w:rsid w:val="00664DF4"/>
    <w:pPr>
      <w:spacing w:after="0" w:line="240" w:lineRule="auto"/>
    </w:pPr>
    <w:rPr>
      <w:kern w:val="2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64DF4"/>
    <w:pPr>
      <w:ind w:left="720"/>
      <w:contextualSpacing/>
    </w:pPr>
  </w:style>
  <w:style w:type="character" w:styleId="Zdraznn">
    <w:name w:val="Emphasis"/>
    <w:basedOn w:val="Standardnpsmoodstavce"/>
    <w:uiPriority w:val="20"/>
    <w:qFormat/>
    <w:rsid w:val="00664DF4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0067E8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067E8"/>
    <w:rPr>
      <w:kern w:val="2"/>
      <w:sz w:val="24"/>
      <w:szCs w:val="24"/>
      <w:lang w:val="cs-CZ"/>
    </w:rPr>
  </w:style>
  <w:style w:type="paragraph" w:styleId="Zpat">
    <w:name w:val="footer"/>
    <w:basedOn w:val="Normln"/>
    <w:link w:val="ZpatChar"/>
    <w:uiPriority w:val="99"/>
    <w:unhideWhenUsed/>
    <w:rsid w:val="000067E8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067E8"/>
    <w:rPr>
      <w:kern w:val="2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15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27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6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63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6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3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96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55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28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05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66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8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5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83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1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79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66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1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9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12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25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9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4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56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9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4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5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3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75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35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2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60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2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9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3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26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9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45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9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1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5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6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6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1342</Words>
  <Characters>7920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Justice and Equality</Company>
  <LinksUpToDate>false</LinksUpToDate>
  <CharactersWithSpaces>9244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Unicom Praha</dc:creator>
  <cp:keywords/>
  <dc:description/>
  <cp:lastModifiedBy>Veronika Slováčková</cp:lastModifiedBy>
  <cp:revision>12</cp:revision>
  <dcterms:created xsi:type="dcterms:W3CDTF">2024-06-11T21:33:00Z</dcterms:created>
  <dcterms:modified xsi:type="dcterms:W3CDTF">2025-10-17T12:29:00Z</dcterms:modified>
</cp:coreProperties>
</file>